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3057" w14:textId="3C9FC79E" w:rsidR="00D01E44" w:rsidRPr="00F555DB" w:rsidRDefault="00260AFC" w:rsidP="00DA213C">
      <w:pPr>
        <w:spacing w:after="0"/>
        <w:jc w:val="center"/>
        <w:rPr>
          <w:rFonts w:ascii="Arial" w:hAnsi="Arial" w:cs="Arial"/>
          <w:b/>
          <w:bCs/>
          <w:color w:val="96C122"/>
          <w:sz w:val="26"/>
          <w:szCs w:val="26"/>
          <w:bdr w:val="none" w:sz="0" w:space="0" w:color="auto" w:frame="1"/>
        </w:rPr>
      </w:pPr>
      <w:r w:rsidRPr="002D74B1">
        <w:rPr>
          <w:rFonts w:ascii="Arial" w:hAnsi="Arial" w:cs="Arial"/>
          <w:b/>
          <w:bCs/>
          <w:noProof/>
          <w:sz w:val="20"/>
          <w:szCs w:val="20"/>
          <w:lang w:val="en-AU"/>
        </w:rPr>
        <mc:AlternateContent>
          <mc:Choice Requires="wps">
            <w:drawing>
              <wp:anchor distT="45720" distB="45720" distL="114300" distR="114300" simplePos="0" relativeHeight="251658242" behindDoc="0" locked="0" layoutInCell="1" allowOverlap="1" wp14:anchorId="60A1CEC3" wp14:editId="421C97BC">
                <wp:simplePos x="0" y="0"/>
                <wp:positionH relativeFrom="margin">
                  <wp:posOffset>-320040</wp:posOffset>
                </wp:positionH>
                <wp:positionV relativeFrom="paragraph">
                  <wp:posOffset>416560</wp:posOffset>
                </wp:positionV>
                <wp:extent cx="6495415" cy="1711325"/>
                <wp:effectExtent l="0" t="0" r="635"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1711325"/>
                        </a:xfrm>
                        <a:prstGeom prst="rect">
                          <a:avLst/>
                        </a:prstGeom>
                        <a:solidFill>
                          <a:srgbClr val="CFE09C"/>
                        </a:solidFill>
                        <a:ln w="9525">
                          <a:noFill/>
                          <a:miter lim="800000"/>
                          <a:headEnd/>
                          <a:tailEnd/>
                        </a:ln>
                      </wps:spPr>
                      <wps:txbx>
                        <w:txbxContent>
                          <w:p w14:paraId="4E142AF3" w14:textId="0F402608" w:rsidR="002D74B1" w:rsidRPr="00CA253E" w:rsidRDefault="002D74B1" w:rsidP="002D74B1">
                            <w:pPr>
                              <w:spacing w:after="0"/>
                              <w:jc w:val="both"/>
                              <w:rPr>
                                <w:rFonts w:ascii="Arial" w:hAnsi="Arial" w:cs="Arial"/>
                                <w:b/>
                                <w:bCs/>
                                <w:sz w:val="20"/>
                                <w:szCs w:val="20"/>
                              </w:rPr>
                            </w:pPr>
                            <w:r w:rsidRPr="00CA253E">
                              <w:rPr>
                                <w:rFonts w:ascii="Arial" w:hAnsi="Arial" w:cs="Arial"/>
                                <w:b/>
                                <w:bCs/>
                                <w:sz w:val="20"/>
                                <w:szCs w:val="20"/>
                              </w:rPr>
                              <w:t>Purpose</w:t>
                            </w:r>
                          </w:p>
                          <w:p w14:paraId="76C08151" w14:textId="3D3DF915" w:rsidR="002D74B1" w:rsidRPr="008762E5" w:rsidRDefault="002D74B1" w:rsidP="002D74B1">
                            <w:pPr>
                              <w:spacing w:after="0" w:line="278" w:lineRule="auto"/>
                              <w:contextualSpacing/>
                              <w:rPr>
                                <w:rFonts w:ascii="Arial" w:hAnsi="Arial" w:cs="Arial"/>
                                <w:sz w:val="20"/>
                                <w:szCs w:val="20"/>
                                <w:lang w:val="en-AU"/>
                              </w:rPr>
                            </w:pPr>
                            <w:r w:rsidRPr="008762E5">
                              <w:rPr>
                                <w:rFonts w:ascii="Arial" w:hAnsi="Arial" w:cs="Arial"/>
                                <w:sz w:val="20"/>
                                <w:szCs w:val="20"/>
                                <w:lang w:val="en-AU"/>
                              </w:rPr>
                              <w:t xml:space="preserve">The </w:t>
                            </w:r>
                            <w:r>
                              <w:rPr>
                                <w:rFonts w:ascii="Arial" w:hAnsi="Arial" w:cs="Arial"/>
                                <w:sz w:val="20"/>
                                <w:szCs w:val="20"/>
                                <w:lang w:val="en-AU"/>
                              </w:rPr>
                              <w:t>C</w:t>
                            </w:r>
                            <w:r w:rsidR="007C4DA7">
                              <w:rPr>
                                <w:rFonts w:ascii="Arial" w:hAnsi="Arial" w:cs="Arial"/>
                                <w:sz w:val="20"/>
                                <w:szCs w:val="20"/>
                                <w:lang w:val="en-AU"/>
                              </w:rPr>
                              <w:t>BD</w:t>
                            </w:r>
                            <w:r>
                              <w:rPr>
                                <w:rFonts w:ascii="Arial" w:hAnsi="Arial" w:cs="Arial"/>
                                <w:sz w:val="20"/>
                                <w:szCs w:val="20"/>
                                <w:lang w:val="en-AU"/>
                              </w:rPr>
                              <w:t xml:space="preserve"> Emergency Management Toolkit has </w:t>
                            </w:r>
                            <w:r w:rsidRPr="008762E5">
                              <w:rPr>
                                <w:rFonts w:ascii="Arial" w:hAnsi="Arial" w:cs="Arial"/>
                                <w:sz w:val="20"/>
                                <w:szCs w:val="20"/>
                                <w:lang w:val="en-AU"/>
                              </w:rPr>
                              <w:t>been developed to support commercial building stakeholders in strengthening preparedness, coordination and operational resilience across a broad range of emergency scenarios and operational environments.</w:t>
                            </w:r>
                          </w:p>
                          <w:p w14:paraId="522E06D9" w14:textId="77777777" w:rsidR="002D74B1" w:rsidRDefault="002D74B1" w:rsidP="002D74B1">
                            <w:pPr>
                              <w:spacing w:after="0" w:line="278" w:lineRule="auto"/>
                              <w:contextualSpacing/>
                              <w:rPr>
                                <w:rFonts w:ascii="Arial" w:hAnsi="Arial" w:cs="Arial"/>
                                <w:sz w:val="20"/>
                                <w:szCs w:val="20"/>
                                <w:lang w:val="en-AU"/>
                              </w:rPr>
                            </w:pPr>
                            <w:r w:rsidRPr="008762E5">
                              <w:rPr>
                                <w:rFonts w:ascii="Arial" w:hAnsi="Arial" w:cs="Arial"/>
                                <w:sz w:val="20"/>
                                <w:szCs w:val="20"/>
                                <w:lang w:val="en-AU"/>
                              </w:rPr>
                              <w:t>The Toolkit provides practical tools, templates and guidance materials that help organisations build capability, improve coordination and support confident operational response before, during and after incidents. Designed to complement existing emergency management arrangements, the Toolkit supports practical implementation, continuous improvement and scalable adoption across different building environments and preparedness maturity levels.</w:t>
                            </w:r>
                          </w:p>
                          <w:p w14:paraId="06DEDDA8" w14:textId="63820D2B" w:rsidR="002D74B1" w:rsidRDefault="002D74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A1CEC3" id="_x0000_t202" coordsize="21600,21600" o:spt="202" path="m,l,21600r21600,l21600,xe">
                <v:stroke joinstyle="miter"/>
                <v:path gradientshapeok="t" o:connecttype="rect"/>
              </v:shapetype>
              <v:shape id="Text Box 2" o:spid="_x0000_s1026" type="#_x0000_t202" style="position:absolute;left:0;text-align:left;margin-left:-25.2pt;margin-top:32.8pt;width:511.45pt;height:134.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" fillcolor="#cfe09c" stroked="f">
                <v:textbox>
                  <w:txbxContent>
                    <w:p w14:paraId="4E142AF3" w14:textId="0F402608" w:rsidR="002D74B1" w:rsidRPr="00CA253E" w:rsidRDefault="002D74B1" w:rsidP="002D74B1">
                      <w:pPr>
                        <w:spacing w:after="0"/>
                        <w:jc w:val="both"/>
                        <w:rPr>
                          <w:rFonts w:ascii="Arial" w:hAnsi="Arial" w:cs="Arial"/>
                          <w:b/>
                          <w:bCs/>
                          <w:sz w:val="20"/>
                          <w:szCs w:val="20"/>
                        </w:rPr>
                      </w:pPr>
                      <w:r w:rsidRPr="00CA253E">
                        <w:rPr>
                          <w:rFonts w:ascii="Arial" w:hAnsi="Arial" w:cs="Arial"/>
                          <w:b/>
                          <w:bCs/>
                          <w:sz w:val="20"/>
                          <w:szCs w:val="20"/>
                        </w:rPr>
                        <w:t>Purpose</w:t>
                      </w:r>
                    </w:p>
                    <w:p w14:paraId="76C08151" w14:textId="3D3DF915" w:rsidR="002D74B1" w:rsidRPr="008762E5" w:rsidRDefault="002D74B1" w:rsidP="002D74B1">
                      <w:pPr>
                        <w:spacing w:after="0" w:line="278" w:lineRule="auto"/>
                        <w:contextualSpacing/>
                        <w:rPr>
                          <w:rFonts w:ascii="Arial" w:hAnsi="Arial" w:cs="Arial"/>
                          <w:sz w:val="20"/>
                          <w:szCs w:val="20"/>
                          <w:lang w:val="en-AU"/>
                        </w:rPr>
                      </w:pPr>
                      <w:r w:rsidRPr="008762E5">
                        <w:rPr>
                          <w:rFonts w:ascii="Arial" w:hAnsi="Arial" w:cs="Arial"/>
                          <w:sz w:val="20"/>
                          <w:szCs w:val="20"/>
                          <w:lang w:val="en-AU"/>
                        </w:rPr>
                        <w:t xml:space="preserve">The </w:t>
                      </w:r>
                      <w:r>
                        <w:rPr>
                          <w:rFonts w:ascii="Arial" w:hAnsi="Arial" w:cs="Arial"/>
                          <w:sz w:val="20"/>
                          <w:szCs w:val="20"/>
                          <w:lang w:val="en-AU"/>
                        </w:rPr>
                        <w:t>C</w:t>
                      </w:r>
                      <w:r w:rsidR="007C4DA7">
                        <w:rPr>
                          <w:rFonts w:ascii="Arial" w:hAnsi="Arial" w:cs="Arial"/>
                          <w:sz w:val="20"/>
                          <w:szCs w:val="20"/>
                          <w:lang w:val="en-AU"/>
                        </w:rPr>
                        <w:t>BD</w:t>
                      </w:r>
                      <w:r>
                        <w:rPr>
                          <w:rFonts w:ascii="Arial" w:hAnsi="Arial" w:cs="Arial"/>
                          <w:sz w:val="20"/>
                          <w:szCs w:val="20"/>
                          <w:lang w:val="en-AU"/>
                        </w:rPr>
                        <w:t xml:space="preserve"> Emergency Management Toolkit has </w:t>
                      </w:r>
                      <w:r w:rsidRPr="008762E5">
                        <w:rPr>
                          <w:rFonts w:ascii="Arial" w:hAnsi="Arial" w:cs="Arial"/>
                          <w:sz w:val="20"/>
                          <w:szCs w:val="20"/>
                          <w:lang w:val="en-AU"/>
                        </w:rPr>
                        <w:t>been developed to support commercial building stakeholders in strengthening preparedness, coordination and operational resilience across a broad range of emergency scenarios and operational environments.</w:t>
                      </w:r>
                    </w:p>
                    <w:p w14:paraId="522E06D9" w14:textId="77777777" w:rsidR="002D74B1" w:rsidRDefault="002D74B1" w:rsidP="002D74B1">
                      <w:pPr>
                        <w:spacing w:after="0" w:line="278" w:lineRule="auto"/>
                        <w:contextualSpacing/>
                        <w:rPr>
                          <w:rFonts w:ascii="Arial" w:hAnsi="Arial" w:cs="Arial"/>
                          <w:sz w:val="20"/>
                          <w:szCs w:val="20"/>
                          <w:lang w:val="en-AU"/>
                        </w:rPr>
                      </w:pPr>
                      <w:r w:rsidRPr="008762E5">
                        <w:rPr>
                          <w:rFonts w:ascii="Arial" w:hAnsi="Arial" w:cs="Arial"/>
                          <w:sz w:val="20"/>
                          <w:szCs w:val="20"/>
                          <w:lang w:val="en-AU"/>
                        </w:rPr>
                        <w:t>The Toolkit provides practical tools, templates and guidance materials that help organisations build capability, improve coordination and support confident operational response before, during and after incidents. Designed to complement existing emergency management arrangements, the Toolkit supports practical implementation, continuous improvement and scalable adoption across different building environments and preparedness maturity levels.</w:t>
                      </w:r>
                    </w:p>
                    <w:p w14:paraId="06DEDDA8" w14:textId="63820D2B" w:rsidR="002D74B1" w:rsidRDefault="002D74B1"/>
                  </w:txbxContent>
                </v:textbox>
                <w10:wrap type="square" anchorx="margin"/>
              </v:shape>
            </w:pict>
          </mc:Fallback>
        </mc:AlternateContent>
      </w:r>
      <w:r w:rsidR="00D01E44" w:rsidRPr="00F555DB">
        <w:rPr>
          <w:noProof/>
          <w:sz w:val="26"/>
          <w:szCs w:val="26"/>
        </w:rPr>
        <w:drawing>
          <wp:anchor distT="0" distB="0" distL="114300" distR="114300" simplePos="0" relativeHeight="251658240" behindDoc="0" locked="0" layoutInCell="1" allowOverlap="1" wp14:anchorId="06C56B0D" wp14:editId="4F03E2C3">
            <wp:simplePos x="0" y="0"/>
            <wp:positionH relativeFrom="margin">
              <wp:posOffset>-727710</wp:posOffset>
            </wp:positionH>
            <wp:positionV relativeFrom="topMargin">
              <wp:align>bottom</wp:align>
            </wp:positionV>
            <wp:extent cx="1315085" cy="689610"/>
            <wp:effectExtent l="0" t="0" r="0" b="0"/>
            <wp:wrapSquare wrapText="bothSides"/>
            <wp:docPr id="1172193" name="Picture 1" descr="A logo for a company&#10;&#10;AI-generated content may be incorrect.">
              <a:extLst xmlns:a="http://schemas.openxmlformats.org/drawingml/2006/main">
                <a:ext uri="{FF2B5EF4-FFF2-40B4-BE49-F238E27FC236}">
                  <a16:creationId xmlns:a16="http://schemas.microsoft.com/office/drawing/2014/main" id="{ED4C1E6B-3FD1-4212-A06F-3503A6B9D3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for a company&#10;&#10;AI-generated content may be incorrect."/>
                    <pic:cNvPicPr>
                      <a:picLocks noChangeAspect="1" noChangeArrowheads="1"/>
                    </pic:cNvPicPr>
                  </pic:nvPicPr>
                  <pic:blipFill rotWithShape="1">
                    <a:blip r:embed="rId11">
                      <a:extLst>
                        <a:ext uri="{28A0092B-C50C-407E-A947-70E740481C1C}">
                          <a14:useLocalDpi xmlns:a14="http://schemas.microsoft.com/office/drawing/2010/main"/>
                        </a:ext>
                      </a:extLst>
                    </a:blip>
                    <a:srcRect l="5614" t="7537" r="4966" b="12270"/>
                    <a:stretch>
                      <a:fillRect/>
                    </a:stretch>
                  </pic:blipFill>
                  <pic:spPr bwMode="auto">
                    <a:xfrm>
                      <a:off x="0" y="0"/>
                      <a:ext cx="1315085" cy="6896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555DB" w:rsidRPr="00F555DB">
        <w:rPr>
          <w:rFonts w:ascii="Arial" w:hAnsi="Arial" w:cs="Arial"/>
          <w:b/>
          <w:bCs/>
          <w:color w:val="96C122"/>
          <w:sz w:val="26"/>
          <w:szCs w:val="26"/>
          <w:bdr w:val="none" w:sz="0" w:space="0" w:color="auto" w:frame="1"/>
        </w:rPr>
        <w:t>HOW TO USE THE C</w:t>
      </w:r>
      <w:r w:rsidR="007C4DA7">
        <w:rPr>
          <w:rFonts w:ascii="Arial" w:hAnsi="Arial" w:cs="Arial"/>
          <w:b/>
          <w:bCs/>
          <w:color w:val="96C122"/>
          <w:sz w:val="26"/>
          <w:szCs w:val="26"/>
          <w:bdr w:val="none" w:sz="0" w:space="0" w:color="auto" w:frame="1"/>
        </w:rPr>
        <w:t>BD</w:t>
      </w:r>
      <w:r w:rsidR="00F555DB" w:rsidRPr="00F555DB">
        <w:rPr>
          <w:rFonts w:ascii="Arial" w:hAnsi="Arial" w:cs="Arial"/>
          <w:b/>
          <w:bCs/>
          <w:color w:val="96C122"/>
          <w:sz w:val="26"/>
          <w:szCs w:val="26"/>
          <w:bdr w:val="none" w:sz="0" w:space="0" w:color="auto" w:frame="1"/>
        </w:rPr>
        <w:t xml:space="preserve"> EMERGENCY MANAGEMENT TOOLKIT</w:t>
      </w:r>
    </w:p>
    <w:p w14:paraId="327E97C3" w14:textId="600BE987" w:rsidR="00583B67" w:rsidRDefault="00DA213C" w:rsidP="00583B67">
      <w:pPr>
        <w:rPr>
          <w:rFonts w:ascii="Arial" w:hAnsi="Arial" w:cs="Arial"/>
          <w:sz w:val="20"/>
          <w:szCs w:val="20"/>
          <w:lang w:val="en-AU"/>
        </w:rPr>
      </w:pPr>
      <w:r w:rsidRPr="002D74B1">
        <w:rPr>
          <w:rFonts w:ascii="Arial" w:hAnsi="Arial" w:cs="Arial"/>
          <w:b/>
          <w:bCs/>
          <w:noProof/>
          <w:sz w:val="20"/>
          <w:szCs w:val="20"/>
          <w:lang w:val="en-AU"/>
        </w:rPr>
        <mc:AlternateContent>
          <mc:Choice Requires="wps">
            <w:drawing>
              <wp:anchor distT="45720" distB="45720" distL="114300" distR="114300" simplePos="0" relativeHeight="251658243" behindDoc="0" locked="0" layoutInCell="1" allowOverlap="1" wp14:anchorId="777829AB" wp14:editId="6C2D91E4">
                <wp:simplePos x="0" y="0"/>
                <wp:positionH relativeFrom="column">
                  <wp:posOffset>-291465</wp:posOffset>
                </wp:positionH>
                <wp:positionV relativeFrom="paragraph">
                  <wp:posOffset>2004695</wp:posOffset>
                </wp:positionV>
                <wp:extent cx="6463030" cy="1233170"/>
                <wp:effectExtent l="0" t="0" r="0" b="5080"/>
                <wp:wrapSquare wrapText="bothSides"/>
                <wp:docPr id="3464420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030" cy="1233170"/>
                        </a:xfrm>
                        <a:prstGeom prst="rect">
                          <a:avLst/>
                        </a:prstGeom>
                        <a:solidFill>
                          <a:srgbClr val="EBF3DB"/>
                        </a:solidFill>
                        <a:ln w="9525">
                          <a:noFill/>
                          <a:miter lim="800000"/>
                          <a:headEnd/>
                          <a:tailEnd/>
                        </a:ln>
                      </wps:spPr>
                      <wps:txbx>
                        <w:txbxContent>
                          <w:p w14:paraId="364AD80B" w14:textId="6BB91A5C" w:rsidR="002D74B1" w:rsidRDefault="002D74B1" w:rsidP="002D74B1">
                            <w:pPr>
                              <w:spacing w:after="0"/>
                              <w:rPr>
                                <w:rFonts w:ascii="Arial" w:hAnsi="Arial" w:cs="Arial"/>
                                <w:b/>
                                <w:bCs/>
                                <w:sz w:val="20"/>
                                <w:szCs w:val="20"/>
                                <w:lang w:val="en-AU"/>
                              </w:rPr>
                            </w:pPr>
                            <w:r>
                              <w:rPr>
                                <w:rFonts w:ascii="Arial" w:hAnsi="Arial" w:cs="Arial"/>
                                <w:b/>
                                <w:bCs/>
                                <w:sz w:val="20"/>
                                <w:szCs w:val="20"/>
                                <w:lang w:val="en-AU"/>
                              </w:rPr>
                              <w:t>Scope</w:t>
                            </w:r>
                          </w:p>
                          <w:p w14:paraId="704EDF68" w14:textId="77777777" w:rsidR="002D74B1" w:rsidRDefault="002D74B1" w:rsidP="002D74B1">
                            <w:pPr>
                              <w:spacing w:after="0"/>
                              <w:rPr>
                                <w:rFonts w:ascii="Arial" w:hAnsi="Arial" w:cs="Arial"/>
                                <w:sz w:val="20"/>
                                <w:szCs w:val="20"/>
                              </w:rPr>
                            </w:pPr>
                            <w:r w:rsidRPr="0005061E">
                              <w:rPr>
                                <w:rFonts w:ascii="Arial" w:hAnsi="Arial" w:cs="Arial"/>
                                <w:sz w:val="20"/>
                                <w:szCs w:val="20"/>
                              </w:rPr>
                              <w:t xml:space="preserve">The Toolkit has been designed as a flexible resource suite that supports </w:t>
                            </w:r>
                            <w:r>
                              <w:rPr>
                                <w:rFonts w:ascii="Arial" w:hAnsi="Arial" w:cs="Arial"/>
                                <w:sz w:val="20"/>
                                <w:szCs w:val="20"/>
                              </w:rPr>
                              <w:t xml:space="preserve">emergency </w:t>
                            </w:r>
                            <w:r w:rsidRPr="0005061E">
                              <w:rPr>
                                <w:rFonts w:ascii="Arial" w:hAnsi="Arial" w:cs="Arial"/>
                                <w:sz w:val="20"/>
                                <w:szCs w:val="20"/>
                              </w:rPr>
                              <w:t>preparedness, coordination, exercising, training and continuous improvement activities across commercial building environments. The resources are intended to complement existing emergency management arrangements and may be used individually or progressively depending on organisational needs, operational priorities and preparedness maturity.</w:t>
                            </w:r>
                          </w:p>
                          <w:p w14:paraId="37E4052D" w14:textId="1B717C45" w:rsidR="002D74B1" w:rsidRDefault="002D74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829AB" id="_x0000_s1027" type="#_x0000_t202" style="position:absolute;margin-left:-22.95pt;margin-top:157.85pt;width:508.9pt;height:97.1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" fillcolor="#ebf3db" stroked="f">
                <v:textbox>
                  <w:txbxContent>
                    <w:p w14:paraId="364AD80B" w14:textId="6BB91A5C" w:rsidR="002D74B1" w:rsidRDefault="002D74B1" w:rsidP="002D74B1">
                      <w:pPr>
                        <w:spacing w:after="0"/>
                        <w:rPr>
                          <w:rFonts w:ascii="Arial" w:hAnsi="Arial" w:cs="Arial"/>
                          <w:b/>
                          <w:bCs/>
                          <w:sz w:val="20"/>
                          <w:szCs w:val="20"/>
                          <w:lang w:val="en-AU"/>
                        </w:rPr>
                      </w:pPr>
                      <w:r>
                        <w:rPr>
                          <w:rFonts w:ascii="Arial" w:hAnsi="Arial" w:cs="Arial"/>
                          <w:b/>
                          <w:bCs/>
                          <w:sz w:val="20"/>
                          <w:szCs w:val="20"/>
                          <w:lang w:val="en-AU"/>
                        </w:rPr>
                        <w:t>Scope</w:t>
                      </w:r>
                    </w:p>
                    <w:p w14:paraId="704EDF68" w14:textId="77777777" w:rsidR="002D74B1" w:rsidRDefault="002D74B1" w:rsidP="002D74B1">
                      <w:pPr>
                        <w:spacing w:after="0"/>
                        <w:rPr>
                          <w:rFonts w:ascii="Arial" w:hAnsi="Arial" w:cs="Arial"/>
                          <w:sz w:val="20"/>
                          <w:szCs w:val="20"/>
                        </w:rPr>
                      </w:pPr>
                      <w:r w:rsidRPr="0005061E">
                        <w:rPr>
                          <w:rFonts w:ascii="Arial" w:hAnsi="Arial" w:cs="Arial"/>
                          <w:sz w:val="20"/>
                          <w:szCs w:val="20"/>
                        </w:rPr>
                        <w:t xml:space="preserve">The Toolkit has been designed as a flexible resource suite that supports </w:t>
                      </w:r>
                      <w:r>
                        <w:rPr>
                          <w:rFonts w:ascii="Arial" w:hAnsi="Arial" w:cs="Arial"/>
                          <w:sz w:val="20"/>
                          <w:szCs w:val="20"/>
                        </w:rPr>
                        <w:t xml:space="preserve">emergency </w:t>
                      </w:r>
                      <w:r w:rsidRPr="0005061E">
                        <w:rPr>
                          <w:rFonts w:ascii="Arial" w:hAnsi="Arial" w:cs="Arial"/>
                          <w:sz w:val="20"/>
                          <w:szCs w:val="20"/>
                        </w:rPr>
                        <w:t>preparedness, coordination, exercising, training and continuous improvement activities across commercial building environments. The resources are intended to complement existing emergency management arrangements and may be used individually or progressively depending on organisational needs, operational priorities and preparedness maturity.</w:t>
                      </w:r>
                    </w:p>
                    <w:p w14:paraId="37E4052D" w14:textId="1B717C45" w:rsidR="002D74B1" w:rsidRDefault="002D74B1"/>
                  </w:txbxContent>
                </v:textbox>
                <w10:wrap type="square"/>
              </v:shape>
            </w:pict>
          </mc:Fallback>
        </mc:AlternateContent>
      </w:r>
      <w:r w:rsidRPr="002D74B1">
        <w:rPr>
          <w:rFonts w:ascii="Arial" w:hAnsi="Arial" w:cs="Arial"/>
          <w:b/>
          <w:bCs/>
          <w:noProof/>
          <w:sz w:val="20"/>
          <w:szCs w:val="20"/>
          <w:lang w:val="en-AU"/>
        </w:rPr>
        <mc:AlternateContent>
          <mc:Choice Requires="wps">
            <w:drawing>
              <wp:anchor distT="45720" distB="45720" distL="114300" distR="114300" simplePos="0" relativeHeight="251663367" behindDoc="0" locked="0" layoutInCell="1" allowOverlap="1" wp14:anchorId="200DB36C" wp14:editId="322DCE59">
                <wp:simplePos x="0" y="0"/>
                <wp:positionH relativeFrom="margin">
                  <wp:posOffset>-295275</wp:posOffset>
                </wp:positionH>
                <wp:positionV relativeFrom="paragraph">
                  <wp:posOffset>3359150</wp:posOffset>
                </wp:positionV>
                <wp:extent cx="6463030" cy="942975"/>
                <wp:effectExtent l="19050" t="19050" r="13970" b="28575"/>
                <wp:wrapSquare wrapText="bothSides"/>
                <wp:docPr id="165060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030" cy="942975"/>
                        </a:xfrm>
                        <a:prstGeom prst="rect">
                          <a:avLst/>
                        </a:prstGeom>
                        <a:noFill/>
                        <a:ln w="28575">
                          <a:solidFill>
                            <a:srgbClr val="96C122"/>
                          </a:solidFill>
                          <a:miter lim="800000"/>
                          <a:headEnd/>
                          <a:tailEnd/>
                        </a:ln>
                      </wps:spPr>
                      <wps:txbx>
                        <w:txbxContent>
                          <w:p w14:paraId="69CAD6AB" w14:textId="7BF5DD19" w:rsidR="00DA213C" w:rsidRDefault="00DA213C" w:rsidP="00DA213C">
                            <w:r w:rsidRPr="004C4150">
                              <w:rPr>
                                <w:rFonts w:ascii="Arial" w:hAnsi="Arial" w:cs="Arial"/>
                                <w:sz w:val="20"/>
                                <w:szCs w:val="20"/>
                                <w:lang w:val="en-AU"/>
                              </w:rPr>
                              <w:t xml:space="preserve">The </w:t>
                            </w:r>
                            <w:r>
                              <w:rPr>
                                <w:rFonts w:ascii="Arial" w:hAnsi="Arial" w:cs="Arial"/>
                                <w:sz w:val="20"/>
                                <w:szCs w:val="20"/>
                                <w:lang w:val="en-AU"/>
                              </w:rPr>
                              <w:t>below</w:t>
                            </w:r>
                            <w:r w:rsidRPr="004C4150">
                              <w:rPr>
                                <w:rFonts w:ascii="Arial" w:hAnsi="Arial" w:cs="Arial"/>
                                <w:sz w:val="20"/>
                                <w:szCs w:val="20"/>
                                <w:lang w:val="en-AU"/>
                              </w:rPr>
                              <w:t xml:space="preserve"> “Toolkit at a Glance” guide provides an overview of how Toolkit resources align across key preparedness activities and Toolkit domains, helping users identify relevant resources and implementation priorities.</w:t>
                            </w:r>
                            <w:r>
                              <w:rPr>
                                <w:rFonts w:ascii="Arial" w:hAnsi="Arial" w:cs="Arial"/>
                                <w:sz w:val="20"/>
                                <w:szCs w:val="20"/>
                                <w:lang w:val="en-AU"/>
                              </w:rPr>
                              <w:t xml:space="preserve"> </w:t>
                            </w:r>
                            <w:r w:rsidRPr="004639DF">
                              <w:rPr>
                                <w:rFonts w:ascii="Arial" w:hAnsi="Arial" w:cs="Arial"/>
                                <w:i/>
                                <w:iCs/>
                                <w:sz w:val="20"/>
                                <w:szCs w:val="20"/>
                              </w:rPr>
                              <w:t>Organisations are encouraged to begin with the Good–Better–Best Capability Checklist to assess preparedness maturity, identify priority areas and determine which Toolkit resources are most relevant to their operational needs</w:t>
                            </w:r>
                            <w:r w:rsidR="004639DF">
                              <w:rPr>
                                <w:rFonts w:ascii="Arial" w:hAnsi="Arial" w:cs="Arial"/>
                                <w:i/>
                                <w:iCs/>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DB36C" id="_x0000_s1028" type="#_x0000_t202" style="position:absolute;margin-left:-23.25pt;margin-top:264.5pt;width:508.9pt;height:74.25pt;z-index:25166336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" filled="f" strokecolor="#96c122" strokeweight="2.25pt">
                <v:textbox>
                  <w:txbxContent>
                    <w:p w14:paraId="69CAD6AB" w14:textId="7BF5DD19" w:rsidR="00DA213C" w:rsidRDefault="00DA213C" w:rsidP="00DA213C">
                      <w:r w:rsidRPr="004C4150">
                        <w:rPr>
                          <w:rFonts w:ascii="Arial" w:hAnsi="Arial" w:cs="Arial"/>
                          <w:sz w:val="20"/>
                          <w:szCs w:val="20"/>
                          <w:lang w:val="en-AU"/>
                        </w:rPr>
                        <w:t xml:space="preserve">The </w:t>
                      </w:r>
                      <w:r>
                        <w:rPr>
                          <w:rFonts w:ascii="Arial" w:hAnsi="Arial" w:cs="Arial"/>
                          <w:sz w:val="20"/>
                          <w:szCs w:val="20"/>
                          <w:lang w:val="en-AU"/>
                        </w:rPr>
                        <w:t>below</w:t>
                      </w:r>
                      <w:r w:rsidRPr="004C4150">
                        <w:rPr>
                          <w:rFonts w:ascii="Arial" w:hAnsi="Arial" w:cs="Arial"/>
                          <w:sz w:val="20"/>
                          <w:szCs w:val="20"/>
                          <w:lang w:val="en-AU"/>
                        </w:rPr>
                        <w:t xml:space="preserve"> “Toolkit at a Glance” guide provides an overview of how Toolkit resources align across key preparedness activities and Toolkit domains, helping users identify relevant resources and implementation priorities.</w:t>
                      </w:r>
                      <w:r>
                        <w:rPr>
                          <w:rFonts w:ascii="Arial" w:hAnsi="Arial" w:cs="Arial"/>
                          <w:sz w:val="20"/>
                          <w:szCs w:val="20"/>
                          <w:lang w:val="en-AU"/>
                        </w:rPr>
                        <w:t xml:space="preserve"> </w:t>
                      </w:r>
                      <w:r w:rsidRPr="004639DF">
                        <w:rPr>
                          <w:rFonts w:ascii="Arial" w:hAnsi="Arial" w:cs="Arial"/>
                          <w:i/>
                          <w:iCs/>
                          <w:sz w:val="20"/>
                          <w:szCs w:val="20"/>
                        </w:rPr>
                        <w:t>Organisations are encouraged to begin with the Good–Better–Best Capability Checklist to assess preparedness maturity, identify priority areas and determine which Toolkit resources are most relevant to their operational needs</w:t>
                      </w:r>
                      <w:r w:rsidR="004639DF">
                        <w:rPr>
                          <w:rFonts w:ascii="Arial" w:hAnsi="Arial" w:cs="Arial"/>
                          <w:i/>
                          <w:iCs/>
                          <w:sz w:val="20"/>
                          <w:szCs w:val="20"/>
                        </w:rPr>
                        <w:t xml:space="preserve">. </w:t>
                      </w:r>
                    </w:p>
                  </w:txbxContent>
                </v:textbox>
                <w10:wrap type="square" anchorx="margin"/>
              </v:shape>
            </w:pict>
          </mc:Fallback>
        </mc:AlternateContent>
      </w:r>
    </w:p>
    <w:p w14:paraId="3A20CAA9" w14:textId="440AC4D2" w:rsidR="00DA213C" w:rsidRPr="00DA213C" w:rsidRDefault="001B3254" w:rsidP="00DA213C">
      <w:pPr>
        <w:rPr>
          <w:rFonts w:ascii="Arial" w:hAnsi="Arial" w:cs="Arial"/>
          <w:sz w:val="20"/>
          <w:szCs w:val="20"/>
          <w:lang w:val="en-AU"/>
        </w:rPr>
      </w:pPr>
      <w:r>
        <w:rPr>
          <w:noProof/>
        </w:rPr>
        <w:drawing>
          <wp:anchor distT="0" distB="0" distL="114300" distR="114300" simplePos="0" relativeHeight="251659271" behindDoc="0" locked="0" layoutInCell="1" allowOverlap="1" wp14:anchorId="5728F016" wp14:editId="58B9BCBB">
            <wp:simplePos x="0" y="0"/>
            <wp:positionH relativeFrom="margin">
              <wp:align>center</wp:align>
            </wp:positionH>
            <wp:positionV relativeFrom="paragraph">
              <wp:posOffset>4251325</wp:posOffset>
            </wp:positionV>
            <wp:extent cx="7105650" cy="3971925"/>
            <wp:effectExtent l="0" t="0" r="0" b="9525"/>
            <wp:wrapSquare wrapText="bothSides"/>
            <wp:docPr id="929271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7135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t="309" b="309"/>
                    <a:stretch>
                      <a:fillRect/>
                    </a:stretch>
                  </pic:blipFill>
                  <pic:spPr bwMode="auto">
                    <a:xfrm>
                      <a:off x="0" y="0"/>
                      <a:ext cx="7105650" cy="39719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A1264C" w14:textId="61AA1754" w:rsidR="002D74B1" w:rsidRPr="00F30E0F" w:rsidRDefault="00E94D76" w:rsidP="00F30E0F">
      <w:pPr>
        <w:rPr>
          <w:rFonts w:ascii="Arial" w:hAnsi="Arial" w:cs="Arial"/>
          <w:sz w:val="20"/>
          <w:szCs w:val="20"/>
          <w:lang w:val="en-AU"/>
        </w:rPr>
      </w:pPr>
      <w:r w:rsidRPr="00B925ED">
        <w:rPr>
          <w:rFonts w:ascii="Arial" w:hAnsi="Arial" w:cs="Arial"/>
          <w:noProof/>
          <w:sz w:val="20"/>
          <w:szCs w:val="20"/>
          <w:lang w:val="en-AU"/>
        </w:rPr>
        <w:lastRenderedPageBreak/>
        <mc:AlternateContent>
          <mc:Choice Requires="wps">
            <w:drawing>
              <wp:anchor distT="45720" distB="45720" distL="114300" distR="114300" simplePos="0" relativeHeight="251658247" behindDoc="1" locked="0" layoutInCell="1" allowOverlap="1" wp14:anchorId="1C81F85B" wp14:editId="08D708C3">
                <wp:simplePos x="0" y="0"/>
                <wp:positionH relativeFrom="margin">
                  <wp:posOffset>-247650</wp:posOffset>
                </wp:positionH>
                <wp:positionV relativeFrom="paragraph">
                  <wp:posOffset>2704465</wp:posOffset>
                </wp:positionV>
                <wp:extent cx="6304915" cy="1495425"/>
                <wp:effectExtent l="19050" t="19050" r="19685" b="28575"/>
                <wp:wrapTight wrapText="bothSides">
                  <wp:wrapPolygon edited="0">
                    <wp:start x="-65" y="-275"/>
                    <wp:lineTo x="-65" y="21738"/>
                    <wp:lineTo x="21602" y="21738"/>
                    <wp:lineTo x="21602" y="-275"/>
                    <wp:lineTo x="-65" y="-275"/>
                  </wp:wrapPolygon>
                </wp:wrapTight>
                <wp:docPr id="11348010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1495425"/>
                        </a:xfrm>
                        <a:prstGeom prst="rect">
                          <a:avLst/>
                        </a:prstGeom>
                        <a:noFill/>
                        <a:ln w="28575">
                          <a:solidFill>
                            <a:srgbClr val="96C122"/>
                          </a:solidFill>
                          <a:miter lim="800000"/>
                          <a:headEnd/>
                          <a:tailEnd/>
                        </a:ln>
                      </wps:spPr>
                      <wps:txbx>
                        <w:txbxContent>
                          <w:p w14:paraId="152CE419" w14:textId="2EFC89BD" w:rsidR="00B925ED" w:rsidRPr="00CA0268" w:rsidRDefault="007C4DA7" w:rsidP="00B925ED">
                            <w:pPr>
                              <w:spacing w:after="0"/>
                              <w:rPr>
                                <w:rFonts w:ascii="Arial" w:hAnsi="Arial" w:cs="Arial"/>
                                <w:b/>
                                <w:bCs/>
                                <w:sz w:val="20"/>
                                <w:szCs w:val="20"/>
                                <w:lang w:val="en-AU"/>
                              </w:rPr>
                            </w:pPr>
                            <w:r>
                              <w:rPr>
                                <w:rFonts w:ascii="Arial" w:hAnsi="Arial" w:cs="Arial"/>
                                <w:b/>
                                <w:bCs/>
                                <w:sz w:val="20"/>
                                <w:szCs w:val="20"/>
                                <w:lang w:val="en-AU"/>
                              </w:rPr>
                              <w:t>CBD</w:t>
                            </w:r>
                            <w:r w:rsidR="00B925ED" w:rsidRPr="00CA0268">
                              <w:rPr>
                                <w:rFonts w:ascii="Arial" w:hAnsi="Arial" w:cs="Arial"/>
                                <w:b/>
                                <w:bCs/>
                                <w:sz w:val="20"/>
                                <w:szCs w:val="20"/>
                                <w:lang w:val="en-AU"/>
                              </w:rPr>
                              <w:t xml:space="preserve"> Emergency Management Toolkit Resources Overview</w:t>
                            </w:r>
                          </w:p>
                          <w:p w14:paraId="7637408F" w14:textId="21374E59" w:rsidR="00B925ED" w:rsidRDefault="00B925ED" w:rsidP="00E07EC3">
                            <w:pPr>
                              <w:rPr>
                                <w:rFonts w:ascii="Arial" w:hAnsi="Arial" w:cs="Arial"/>
                                <w:sz w:val="20"/>
                                <w:szCs w:val="20"/>
                                <w:lang w:val="en-AU"/>
                              </w:rPr>
                            </w:pPr>
                            <w:r w:rsidRPr="00CA0268">
                              <w:rPr>
                                <w:rFonts w:ascii="Arial" w:hAnsi="Arial" w:cs="Arial"/>
                                <w:sz w:val="20"/>
                                <w:szCs w:val="20"/>
                                <w:lang w:val="en-AU"/>
                              </w:rPr>
                              <w:t>The Toolkit includes a range of practical templates, checklists and guidance materials designed to support operational preparedness activities across commercial building environment</w:t>
                            </w:r>
                            <w:r>
                              <w:rPr>
                                <w:rFonts w:ascii="Arial" w:hAnsi="Arial" w:cs="Arial"/>
                                <w:sz w:val="20"/>
                                <w:szCs w:val="20"/>
                                <w:lang w:val="en-AU"/>
                              </w:rPr>
                              <w:t xml:space="preserve">. </w:t>
                            </w:r>
                            <w:r w:rsidR="00E07EC3" w:rsidRPr="00E07EC3">
                              <w:rPr>
                                <w:rFonts w:ascii="Arial" w:hAnsi="Arial" w:cs="Arial"/>
                                <w:sz w:val="20"/>
                                <w:szCs w:val="20"/>
                              </w:rPr>
                              <w:t>Resources may be adopted individually or progressively based on organisational priorities, identified risks and operational requirements.</w:t>
                            </w:r>
                          </w:p>
                          <w:p w14:paraId="4240087E" w14:textId="77777777" w:rsidR="008657EE" w:rsidRDefault="008657EE" w:rsidP="00B925ED">
                            <w:pPr>
                              <w:spacing w:after="0"/>
                              <w:rPr>
                                <w:rFonts w:ascii="Arial" w:hAnsi="Arial" w:cs="Arial"/>
                                <w:sz w:val="20"/>
                                <w:szCs w:val="20"/>
                                <w:lang w:val="en-AU"/>
                              </w:rPr>
                            </w:pPr>
                          </w:p>
                          <w:p w14:paraId="3388F8CF" w14:textId="2D26E411" w:rsidR="008657EE" w:rsidRPr="00C153FF" w:rsidRDefault="008657EE" w:rsidP="00B925ED">
                            <w:pPr>
                              <w:spacing w:after="0"/>
                              <w:rPr>
                                <w:rFonts w:ascii="Arial" w:hAnsi="Arial" w:cs="Arial"/>
                                <w:i/>
                                <w:iCs/>
                                <w:sz w:val="20"/>
                                <w:szCs w:val="20"/>
                                <w:u w:val="single"/>
                                <w:lang w:val="en-AU"/>
                              </w:rPr>
                            </w:pPr>
                            <w:r w:rsidRPr="00C153FF">
                              <w:rPr>
                                <w:rFonts w:ascii="Arial" w:hAnsi="Arial" w:cs="Arial"/>
                                <w:i/>
                                <w:iCs/>
                                <w:sz w:val="20"/>
                                <w:szCs w:val="20"/>
                                <w:u w:val="single"/>
                              </w:rPr>
                              <w:t>See next page for a summary of Toolkit resources and supporting materials.</w:t>
                            </w:r>
                          </w:p>
                          <w:p w14:paraId="4642F8D4" w14:textId="77777777" w:rsidR="008657EE" w:rsidRPr="00C153FF" w:rsidRDefault="008657EE" w:rsidP="00B925ED">
                            <w:pPr>
                              <w:spacing w:after="0"/>
                              <w:rPr>
                                <w:rFonts w:ascii="Arial" w:hAnsi="Arial" w:cs="Arial"/>
                                <w:sz w:val="20"/>
                                <w:szCs w:val="20"/>
                                <w:lang w:val="en-AU"/>
                              </w:rPr>
                            </w:pPr>
                          </w:p>
                          <w:p w14:paraId="3C10F1EA" w14:textId="77777777" w:rsidR="008657EE" w:rsidRDefault="008657EE" w:rsidP="00B925ED">
                            <w:pPr>
                              <w:spacing w:after="0"/>
                              <w:rPr>
                                <w:rFonts w:ascii="Arial" w:hAnsi="Arial" w:cs="Arial"/>
                                <w:sz w:val="20"/>
                                <w:szCs w:val="20"/>
                                <w:lang w:val="en-AU"/>
                              </w:rPr>
                            </w:pPr>
                          </w:p>
                          <w:p w14:paraId="71CD8010" w14:textId="2C81F8DB" w:rsidR="00B925ED" w:rsidRDefault="00B925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1F85B" id="_x0000_s1029" type="#_x0000_t202" style="position:absolute;margin-left:-19.5pt;margin-top:212.95pt;width:496.45pt;height:117.75pt;z-index:-25165823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" filled="f" strokecolor="#96c122" strokeweight="2.25pt">
                <v:textbox>
                  <w:txbxContent>
                    <w:p w14:paraId="152CE419" w14:textId="2EFC89BD" w:rsidR="00B925ED" w:rsidRPr="00CA0268" w:rsidRDefault="007C4DA7" w:rsidP="00B925ED">
                      <w:pPr>
                        <w:spacing w:after="0"/>
                        <w:rPr>
                          <w:rFonts w:ascii="Arial" w:hAnsi="Arial" w:cs="Arial"/>
                          <w:b/>
                          <w:bCs/>
                          <w:sz w:val="20"/>
                          <w:szCs w:val="20"/>
                          <w:lang w:val="en-AU"/>
                        </w:rPr>
                      </w:pPr>
                      <w:r>
                        <w:rPr>
                          <w:rFonts w:ascii="Arial" w:hAnsi="Arial" w:cs="Arial"/>
                          <w:b/>
                          <w:bCs/>
                          <w:sz w:val="20"/>
                          <w:szCs w:val="20"/>
                          <w:lang w:val="en-AU"/>
                        </w:rPr>
                        <w:t>CBD</w:t>
                      </w:r>
                      <w:r w:rsidR="00B925ED" w:rsidRPr="00CA0268">
                        <w:rPr>
                          <w:rFonts w:ascii="Arial" w:hAnsi="Arial" w:cs="Arial"/>
                          <w:b/>
                          <w:bCs/>
                          <w:sz w:val="20"/>
                          <w:szCs w:val="20"/>
                          <w:lang w:val="en-AU"/>
                        </w:rPr>
                        <w:t xml:space="preserve"> Emergency Management Toolkit Resources Overview</w:t>
                      </w:r>
                    </w:p>
                    <w:p w14:paraId="7637408F" w14:textId="21374E59" w:rsidR="00B925ED" w:rsidRDefault="00B925ED" w:rsidP="00E07EC3">
                      <w:pPr>
                        <w:rPr>
                          <w:rFonts w:ascii="Arial" w:hAnsi="Arial" w:cs="Arial"/>
                          <w:sz w:val="20"/>
                          <w:szCs w:val="20"/>
                          <w:lang w:val="en-AU"/>
                        </w:rPr>
                      </w:pPr>
                      <w:r w:rsidRPr="00CA0268">
                        <w:rPr>
                          <w:rFonts w:ascii="Arial" w:hAnsi="Arial" w:cs="Arial"/>
                          <w:sz w:val="20"/>
                          <w:szCs w:val="20"/>
                          <w:lang w:val="en-AU"/>
                        </w:rPr>
                        <w:t>The Toolkit includes a range of practical templates, checklists and guidance materials designed to support operational preparedness activities across commercial building environment</w:t>
                      </w:r>
                      <w:r>
                        <w:rPr>
                          <w:rFonts w:ascii="Arial" w:hAnsi="Arial" w:cs="Arial"/>
                          <w:sz w:val="20"/>
                          <w:szCs w:val="20"/>
                          <w:lang w:val="en-AU"/>
                        </w:rPr>
                        <w:t xml:space="preserve">. </w:t>
                      </w:r>
                      <w:r w:rsidR="00E07EC3" w:rsidRPr="00E07EC3">
                        <w:rPr>
                          <w:rFonts w:ascii="Arial" w:hAnsi="Arial" w:cs="Arial"/>
                          <w:sz w:val="20"/>
                          <w:szCs w:val="20"/>
                        </w:rPr>
                        <w:t>Resources may be adopted individually or progressively based on organisational priorities, identified risks and operational requirements.</w:t>
                      </w:r>
                    </w:p>
                    <w:p w14:paraId="4240087E" w14:textId="77777777" w:rsidR="008657EE" w:rsidRDefault="008657EE" w:rsidP="00B925ED">
                      <w:pPr>
                        <w:spacing w:after="0"/>
                        <w:rPr>
                          <w:rFonts w:ascii="Arial" w:hAnsi="Arial" w:cs="Arial"/>
                          <w:sz w:val="20"/>
                          <w:szCs w:val="20"/>
                          <w:lang w:val="en-AU"/>
                        </w:rPr>
                      </w:pPr>
                    </w:p>
                    <w:p w14:paraId="3388F8CF" w14:textId="2D26E411" w:rsidR="008657EE" w:rsidRPr="00C153FF" w:rsidRDefault="008657EE" w:rsidP="00B925ED">
                      <w:pPr>
                        <w:spacing w:after="0"/>
                        <w:rPr>
                          <w:rFonts w:ascii="Arial" w:hAnsi="Arial" w:cs="Arial"/>
                          <w:i/>
                          <w:iCs/>
                          <w:sz w:val="20"/>
                          <w:szCs w:val="20"/>
                          <w:u w:val="single"/>
                          <w:lang w:val="en-AU"/>
                        </w:rPr>
                      </w:pPr>
                      <w:r w:rsidRPr="00C153FF">
                        <w:rPr>
                          <w:rFonts w:ascii="Arial" w:hAnsi="Arial" w:cs="Arial"/>
                          <w:i/>
                          <w:iCs/>
                          <w:sz w:val="20"/>
                          <w:szCs w:val="20"/>
                          <w:u w:val="single"/>
                        </w:rPr>
                        <w:t>See next page for a summary of Toolkit resources and supporting materials.</w:t>
                      </w:r>
                    </w:p>
                    <w:p w14:paraId="4642F8D4" w14:textId="77777777" w:rsidR="008657EE" w:rsidRPr="00C153FF" w:rsidRDefault="008657EE" w:rsidP="00B925ED">
                      <w:pPr>
                        <w:spacing w:after="0"/>
                        <w:rPr>
                          <w:rFonts w:ascii="Arial" w:hAnsi="Arial" w:cs="Arial"/>
                          <w:sz w:val="20"/>
                          <w:szCs w:val="20"/>
                          <w:lang w:val="en-AU"/>
                        </w:rPr>
                      </w:pPr>
                    </w:p>
                    <w:p w14:paraId="3C10F1EA" w14:textId="77777777" w:rsidR="008657EE" w:rsidRDefault="008657EE" w:rsidP="00B925ED">
                      <w:pPr>
                        <w:spacing w:after="0"/>
                        <w:rPr>
                          <w:rFonts w:ascii="Arial" w:hAnsi="Arial" w:cs="Arial"/>
                          <w:sz w:val="20"/>
                          <w:szCs w:val="20"/>
                          <w:lang w:val="en-AU"/>
                        </w:rPr>
                      </w:pPr>
                    </w:p>
                    <w:p w14:paraId="71CD8010" w14:textId="2C81F8DB" w:rsidR="00B925ED" w:rsidRDefault="00B925ED"/>
                  </w:txbxContent>
                </v:textbox>
                <w10:wrap type="tight" anchorx="margin"/>
              </v:shape>
            </w:pict>
          </mc:Fallback>
        </mc:AlternateContent>
      </w:r>
    </w:p>
    <w:p w14:paraId="5204E725" w14:textId="6AEEAE85" w:rsidR="002D74B1" w:rsidRDefault="002D74B1" w:rsidP="0005061E">
      <w:pPr>
        <w:spacing w:after="0"/>
        <w:rPr>
          <w:rFonts w:ascii="Arial" w:hAnsi="Arial" w:cs="Arial"/>
          <w:b/>
          <w:bCs/>
          <w:sz w:val="20"/>
          <w:szCs w:val="20"/>
          <w:lang w:val="en-AU"/>
        </w:rPr>
      </w:pPr>
    </w:p>
    <w:p w14:paraId="7D38C1AB" w14:textId="4D005188" w:rsidR="00C84C95" w:rsidRDefault="00C84C95" w:rsidP="0005061E">
      <w:pPr>
        <w:spacing w:after="0"/>
        <w:rPr>
          <w:rFonts w:ascii="Arial" w:hAnsi="Arial" w:cs="Arial"/>
          <w:b/>
          <w:bCs/>
          <w:sz w:val="20"/>
          <w:szCs w:val="20"/>
          <w:lang w:val="en-AU"/>
        </w:rPr>
      </w:pPr>
    </w:p>
    <w:p w14:paraId="127C7F0D" w14:textId="2C0D079A" w:rsidR="008A0E05" w:rsidRDefault="008A0E05" w:rsidP="00921D95">
      <w:pPr>
        <w:spacing w:after="0"/>
        <w:rPr>
          <w:rFonts w:ascii="Arial" w:hAnsi="Arial" w:cs="Arial"/>
          <w:sz w:val="20"/>
          <w:szCs w:val="20"/>
          <w:lang w:val="en-AU"/>
        </w:rPr>
      </w:pPr>
    </w:p>
    <w:tbl>
      <w:tblPr>
        <w:tblStyle w:val="TableGrid"/>
        <w:tblpPr w:leftFromText="180" w:rightFromText="180" w:vertAnchor="page" w:horzAnchor="margin" w:tblpX="-449" w:tblpY="1474"/>
        <w:tblW w:w="9900"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1862"/>
        <w:gridCol w:w="8038"/>
      </w:tblGrid>
      <w:tr w:rsidR="00883685" w14:paraId="0AAB7B25" w14:textId="77777777" w:rsidTr="00F35C1A">
        <w:tc>
          <w:tcPr>
            <w:tcW w:w="9900" w:type="dxa"/>
            <w:gridSpan w:val="2"/>
            <w:shd w:val="clear" w:color="auto" w:fill="95C123"/>
          </w:tcPr>
          <w:p w14:paraId="390B899F" w14:textId="06632A1D" w:rsidR="00883685" w:rsidRPr="00883685" w:rsidRDefault="00C93183" w:rsidP="008657EE">
            <w:pPr>
              <w:rPr>
                <w:rFonts w:ascii="Arial" w:hAnsi="Arial" w:cs="Arial"/>
                <w:color w:val="FFFFFF" w:themeColor="background1"/>
                <w:sz w:val="20"/>
                <w:szCs w:val="20"/>
                <w:lang w:val="en-AU"/>
              </w:rPr>
            </w:pPr>
            <w:r>
              <w:rPr>
                <w:rFonts w:ascii="Arial" w:hAnsi="Arial" w:cs="Arial"/>
                <w:color w:val="FFFFFF" w:themeColor="background1"/>
                <w:sz w:val="20"/>
                <w:szCs w:val="20"/>
                <w:lang w:val="en-AU"/>
              </w:rPr>
              <w:t xml:space="preserve">Toolkit Domains </w:t>
            </w:r>
          </w:p>
        </w:tc>
      </w:tr>
      <w:tr w:rsidR="00E739A9" w14:paraId="617066C2" w14:textId="77777777" w:rsidTr="008657EE">
        <w:tc>
          <w:tcPr>
            <w:tcW w:w="1862" w:type="dxa"/>
            <w:shd w:val="clear" w:color="auto" w:fill="95C123"/>
          </w:tcPr>
          <w:p w14:paraId="0795ADCA" w14:textId="77777777" w:rsidR="00E739A9" w:rsidRPr="00C21C80" w:rsidRDefault="00E739A9" w:rsidP="008657EE">
            <w:pPr>
              <w:jc w:val="center"/>
              <w:rPr>
                <w:rFonts w:ascii="Arial" w:hAnsi="Arial" w:cs="Arial"/>
                <w:color w:val="FFFFFF" w:themeColor="background1"/>
                <w:sz w:val="20"/>
                <w:szCs w:val="20"/>
                <w:lang w:val="en-AU"/>
              </w:rPr>
            </w:pPr>
            <w:r w:rsidRPr="00C21C80">
              <w:rPr>
                <w:rFonts w:ascii="Arial" w:hAnsi="Arial" w:cs="Arial"/>
                <w:color w:val="FFFFFF" w:themeColor="background1"/>
                <w:sz w:val="20"/>
                <w:szCs w:val="20"/>
                <w:lang w:val="en-AU"/>
              </w:rPr>
              <w:t>Domain</w:t>
            </w:r>
          </w:p>
        </w:tc>
        <w:tc>
          <w:tcPr>
            <w:tcW w:w="8038" w:type="dxa"/>
            <w:shd w:val="clear" w:color="auto" w:fill="95C123"/>
          </w:tcPr>
          <w:p w14:paraId="1438C87F" w14:textId="77777777" w:rsidR="00E739A9" w:rsidRPr="00C21C80" w:rsidRDefault="00E739A9" w:rsidP="008657EE">
            <w:pPr>
              <w:rPr>
                <w:rFonts w:ascii="Arial" w:hAnsi="Arial" w:cs="Arial"/>
                <w:color w:val="FFFFFF" w:themeColor="background1"/>
                <w:sz w:val="20"/>
                <w:szCs w:val="20"/>
                <w:lang w:val="en-AU"/>
              </w:rPr>
            </w:pPr>
            <w:r w:rsidRPr="00C21C80">
              <w:rPr>
                <w:rFonts w:ascii="Arial" w:hAnsi="Arial" w:cs="Arial"/>
                <w:color w:val="FFFFFF" w:themeColor="background1"/>
                <w:sz w:val="20"/>
                <w:szCs w:val="20"/>
                <w:lang w:val="en-AU"/>
              </w:rPr>
              <w:t>Purpose</w:t>
            </w:r>
          </w:p>
        </w:tc>
      </w:tr>
      <w:tr w:rsidR="00E739A9" w14:paraId="75AD225E" w14:textId="77777777" w:rsidTr="008657EE">
        <w:tc>
          <w:tcPr>
            <w:tcW w:w="1862" w:type="dxa"/>
            <w:shd w:val="clear" w:color="auto" w:fill="CFE09C"/>
          </w:tcPr>
          <w:p w14:paraId="30230A47"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Governance</w:t>
            </w:r>
          </w:p>
        </w:tc>
        <w:tc>
          <w:tcPr>
            <w:tcW w:w="8038" w:type="dxa"/>
            <w:shd w:val="clear" w:color="auto" w:fill="EBF3DB"/>
          </w:tcPr>
          <w:p w14:paraId="0C1DFE30" w14:textId="51AB8F9C" w:rsidR="00E739A9" w:rsidRDefault="000541B4" w:rsidP="008657EE">
            <w:pPr>
              <w:rPr>
                <w:rFonts w:ascii="Arial" w:hAnsi="Arial" w:cs="Arial"/>
                <w:sz w:val="20"/>
                <w:szCs w:val="20"/>
                <w:lang w:val="en-AU"/>
              </w:rPr>
            </w:pPr>
            <w:r w:rsidRPr="000541B4">
              <w:rPr>
                <w:rFonts w:ascii="Arial" w:hAnsi="Arial" w:cs="Arial"/>
                <w:sz w:val="20"/>
                <w:szCs w:val="20"/>
              </w:rPr>
              <w:t>Establishes preparedness oversight, capability development and implementation activities.</w:t>
            </w:r>
          </w:p>
        </w:tc>
      </w:tr>
      <w:tr w:rsidR="00E739A9" w14:paraId="4AF82B0E" w14:textId="77777777" w:rsidTr="008657EE">
        <w:tc>
          <w:tcPr>
            <w:tcW w:w="1862" w:type="dxa"/>
            <w:shd w:val="clear" w:color="auto" w:fill="CFE09C"/>
          </w:tcPr>
          <w:p w14:paraId="0E0C736D"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Planning</w:t>
            </w:r>
          </w:p>
        </w:tc>
        <w:tc>
          <w:tcPr>
            <w:tcW w:w="8038" w:type="dxa"/>
            <w:shd w:val="clear" w:color="auto" w:fill="EBF3DB"/>
          </w:tcPr>
          <w:p w14:paraId="13A7050D" w14:textId="77777777" w:rsidR="00E739A9" w:rsidRDefault="00E739A9" w:rsidP="008657EE">
            <w:pPr>
              <w:rPr>
                <w:rFonts w:ascii="Arial" w:hAnsi="Arial" w:cs="Arial"/>
                <w:sz w:val="20"/>
                <w:szCs w:val="20"/>
                <w:lang w:val="en-AU"/>
              </w:rPr>
            </w:pPr>
            <w:r w:rsidRPr="00787A0B">
              <w:rPr>
                <w:rFonts w:ascii="Arial" w:hAnsi="Arial" w:cs="Arial"/>
                <w:sz w:val="20"/>
                <w:szCs w:val="20"/>
                <w:lang w:val="en-AU"/>
              </w:rPr>
              <w:t>Supports preparedness and planning across a range of emergency scenarios</w:t>
            </w:r>
            <w:r>
              <w:rPr>
                <w:rFonts w:ascii="Arial" w:hAnsi="Arial" w:cs="Arial"/>
                <w:sz w:val="20"/>
                <w:szCs w:val="20"/>
                <w:lang w:val="en-AU"/>
              </w:rPr>
              <w:t>.</w:t>
            </w:r>
          </w:p>
          <w:p w14:paraId="0EB4D911" w14:textId="77777777" w:rsidR="008B728B" w:rsidRDefault="008B728B" w:rsidP="008657EE">
            <w:pPr>
              <w:rPr>
                <w:rFonts w:ascii="Arial" w:hAnsi="Arial" w:cs="Arial"/>
                <w:sz w:val="20"/>
                <w:szCs w:val="20"/>
                <w:lang w:val="en-AU"/>
              </w:rPr>
            </w:pPr>
          </w:p>
        </w:tc>
      </w:tr>
      <w:tr w:rsidR="00E739A9" w14:paraId="7367E75D" w14:textId="77777777" w:rsidTr="008657EE">
        <w:tc>
          <w:tcPr>
            <w:tcW w:w="1862" w:type="dxa"/>
            <w:shd w:val="clear" w:color="auto" w:fill="CFE09C"/>
          </w:tcPr>
          <w:p w14:paraId="2D9895AC"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Collaboration</w:t>
            </w:r>
          </w:p>
        </w:tc>
        <w:tc>
          <w:tcPr>
            <w:tcW w:w="8038" w:type="dxa"/>
            <w:shd w:val="clear" w:color="auto" w:fill="EBF3DB"/>
          </w:tcPr>
          <w:p w14:paraId="1543212A" w14:textId="4B5C155C" w:rsidR="00E739A9" w:rsidRDefault="008B728B" w:rsidP="008657EE">
            <w:pPr>
              <w:rPr>
                <w:rFonts w:ascii="Arial" w:hAnsi="Arial" w:cs="Arial"/>
                <w:sz w:val="20"/>
                <w:szCs w:val="20"/>
              </w:rPr>
            </w:pPr>
            <w:r w:rsidRPr="008B728B">
              <w:rPr>
                <w:rFonts w:ascii="Arial" w:hAnsi="Arial" w:cs="Arial"/>
                <w:sz w:val="20"/>
                <w:szCs w:val="20"/>
              </w:rPr>
              <w:t>Strengthens operational coordination, communication and information sharing activities</w:t>
            </w:r>
            <w:r>
              <w:rPr>
                <w:rFonts w:ascii="Arial" w:hAnsi="Arial" w:cs="Arial"/>
                <w:sz w:val="20"/>
                <w:szCs w:val="20"/>
              </w:rPr>
              <w:t>.</w:t>
            </w:r>
          </w:p>
          <w:p w14:paraId="50EEC77D" w14:textId="4585A2B5" w:rsidR="008B728B" w:rsidRDefault="008B728B" w:rsidP="008657EE">
            <w:pPr>
              <w:rPr>
                <w:rFonts w:ascii="Arial" w:hAnsi="Arial" w:cs="Arial"/>
                <w:sz w:val="20"/>
                <w:szCs w:val="20"/>
                <w:lang w:val="en-AU"/>
              </w:rPr>
            </w:pPr>
          </w:p>
        </w:tc>
      </w:tr>
      <w:tr w:rsidR="00E739A9" w14:paraId="2F5558C4" w14:textId="77777777" w:rsidTr="008657EE">
        <w:tc>
          <w:tcPr>
            <w:tcW w:w="1862" w:type="dxa"/>
            <w:shd w:val="clear" w:color="auto" w:fill="CFE09C"/>
          </w:tcPr>
          <w:p w14:paraId="7423DCA2"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Exercising</w:t>
            </w:r>
          </w:p>
        </w:tc>
        <w:tc>
          <w:tcPr>
            <w:tcW w:w="8038" w:type="dxa"/>
            <w:shd w:val="clear" w:color="auto" w:fill="EBF3DB"/>
          </w:tcPr>
          <w:p w14:paraId="393C7617" w14:textId="77777777" w:rsidR="00E739A9" w:rsidRDefault="008B728B" w:rsidP="008657EE">
            <w:pPr>
              <w:rPr>
                <w:rFonts w:ascii="Arial" w:hAnsi="Arial" w:cs="Arial"/>
                <w:sz w:val="20"/>
                <w:szCs w:val="20"/>
              </w:rPr>
            </w:pPr>
            <w:r w:rsidRPr="008B728B">
              <w:rPr>
                <w:rFonts w:ascii="Arial" w:hAnsi="Arial" w:cs="Arial"/>
                <w:sz w:val="20"/>
                <w:szCs w:val="20"/>
              </w:rPr>
              <w:t>Encourages exercising, validation and operational review activities.</w:t>
            </w:r>
          </w:p>
          <w:p w14:paraId="4C7B400F" w14:textId="4985365A" w:rsidR="008B728B" w:rsidRDefault="008B728B" w:rsidP="008657EE">
            <w:pPr>
              <w:rPr>
                <w:rFonts w:ascii="Arial" w:hAnsi="Arial" w:cs="Arial"/>
                <w:sz w:val="20"/>
                <w:szCs w:val="20"/>
                <w:lang w:val="en-AU"/>
              </w:rPr>
            </w:pPr>
          </w:p>
        </w:tc>
      </w:tr>
      <w:tr w:rsidR="00E739A9" w14:paraId="2BCED646" w14:textId="77777777" w:rsidTr="008657EE">
        <w:tc>
          <w:tcPr>
            <w:tcW w:w="1862" w:type="dxa"/>
            <w:shd w:val="clear" w:color="auto" w:fill="CFE09C"/>
          </w:tcPr>
          <w:p w14:paraId="783B1E75"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Training</w:t>
            </w:r>
          </w:p>
        </w:tc>
        <w:tc>
          <w:tcPr>
            <w:tcW w:w="8038" w:type="dxa"/>
            <w:shd w:val="clear" w:color="auto" w:fill="EBF3DB"/>
          </w:tcPr>
          <w:p w14:paraId="4F81B396" w14:textId="77777777" w:rsidR="00E739A9" w:rsidRDefault="00A27AE3" w:rsidP="008657EE">
            <w:pPr>
              <w:rPr>
                <w:rFonts w:ascii="Arial" w:hAnsi="Arial" w:cs="Arial"/>
                <w:sz w:val="20"/>
                <w:szCs w:val="20"/>
              </w:rPr>
            </w:pPr>
            <w:r w:rsidRPr="00A27AE3">
              <w:rPr>
                <w:rFonts w:ascii="Arial" w:hAnsi="Arial" w:cs="Arial"/>
                <w:sz w:val="20"/>
                <w:szCs w:val="20"/>
              </w:rPr>
              <w:t>Builds awareness, engagement and preparedness capability across stakeholders.</w:t>
            </w:r>
          </w:p>
          <w:p w14:paraId="698198C6" w14:textId="4B97D931" w:rsidR="00A27AE3" w:rsidRDefault="00A27AE3" w:rsidP="008657EE">
            <w:pPr>
              <w:rPr>
                <w:rFonts w:ascii="Arial" w:hAnsi="Arial" w:cs="Arial"/>
                <w:sz w:val="20"/>
                <w:szCs w:val="20"/>
                <w:lang w:val="en-AU"/>
              </w:rPr>
            </w:pPr>
          </w:p>
        </w:tc>
      </w:tr>
      <w:tr w:rsidR="00E739A9" w14:paraId="1D0A9932" w14:textId="77777777" w:rsidTr="008657EE">
        <w:tc>
          <w:tcPr>
            <w:tcW w:w="1862" w:type="dxa"/>
            <w:shd w:val="clear" w:color="auto" w:fill="CFE09C"/>
          </w:tcPr>
          <w:p w14:paraId="38FEF5F3" w14:textId="77777777" w:rsidR="00E739A9" w:rsidRDefault="00E739A9" w:rsidP="008657EE">
            <w:pPr>
              <w:jc w:val="center"/>
              <w:rPr>
                <w:rFonts w:ascii="Arial" w:hAnsi="Arial" w:cs="Arial"/>
                <w:sz w:val="20"/>
                <w:szCs w:val="20"/>
                <w:lang w:val="en-AU"/>
              </w:rPr>
            </w:pPr>
            <w:r>
              <w:rPr>
                <w:rFonts w:ascii="Arial" w:hAnsi="Arial" w:cs="Arial"/>
                <w:sz w:val="20"/>
                <w:szCs w:val="20"/>
                <w:lang w:val="en-AU"/>
              </w:rPr>
              <w:t>Continuous Improvement</w:t>
            </w:r>
          </w:p>
        </w:tc>
        <w:tc>
          <w:tcPr>
            <w:tcW w:w="8038" w:type="dxa"/>
            <w:shd w:val="clear" w:color="auto" w:fill="EBF3DB"/>
          </w:tcPr>
          <w:p w14:paraId="11524AC1" w14:textId="5F2771E6" w:rsidR="00E739A9" w:rsidRDefault="00A27AE3" w:rsidP="008657EE">
            <w:pPr>
              <w:rPr>
                <w:rFonts w:ascii="Arial" w:hAnsi="Arial" w:cs="Arial"/>
                <w:sz w:val="20"/>
                <w:szCs w:val="20"/>
                <w:lang w:val="en-AU"/>
              </w:rPr>
            </w:pPr>
            <w:r w:rsidRPr="00A27AE3">
              <w:rPr>
                <w:rFonts w:ascii="Arial" w:hAnsi="Arial" w:cs="Arial"/>
                <w:sz w:val="20"/>
                <w:szCs w:val="20"/>
              </w:rPr>
              <w:t>Focuses on lessons management, corrective actions and ongoing preparedness improvement activities.</w:t>
            </w:r>
          </w:p>
        </w:tc>
      </w:tr>
    </w:tbl>
    <w:p w14:paraId="222D1709" w14:textId="306BC8CB" w:rsidR="00B925ED" w:rsidRDefault="00B925ED" w:rsidP="001233B9">
      <w:pPr>
        <w:spacing w:after="0"/>
        <w:rPr>
          <w:rFonts w:ascii="Arial" w:hAnsi="Arial" w:cs="Arial"/>
          <w:sz w:val="20"/>
          <w:szCs w:val="20"/>
          <w:lang w:val="en-AU"/>
        </w:rPr>
      </w:pPr>
    </w:p>
    <w:p w14:paraId="4D3A1E63" w14:textId="66F1F874" w:rsidR="00B925ED" w:rsidRDefault="00B925ED" w:rsidP="001233B9">
      <w:pPr>
        <w:spacing w:after="0"/>
        <w:rPr>
          <w:rFonts w:ascii="Arial" w:hAnsi="Arial" w:cs="Arial"/>
          <w:b/>
          <w:bCs/>
          <w:sz w:val="20"/>
          <w:szCs w:val="20"/>
          <w:lang w:val="en-AU"/>
        </w:rPr>
      </w:pPr>
    </w:p>
    <w:p w14:paraId="21E0BAB0" w14:textId="3B3FAF06" w:rsidR="00062661" w:rsidRDefault="00062661">
      <w:pPr>
        <w:rPr>
          <w:noProof/>
        </w:rPr>
      </w:pPr>
      <w:r>
        <w:rPr>
          <w:noProof/>
        </w:rPr>
        <w:br w:type="page"/>
      </w:r>
    </w:p>
    <w:tbl>
      <w:tblPr>
        <w:tblStyle w:val="RStable"/>
        <w:tblW w:w="10042" w:type="dxa"/>
        <w:tblInd w:w="-709"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1560"/>
        <w:gridCol w:w="3804"/>
        <w:gridCol w:w="4678"/>
      </w:tblGrid>
      <w:tr w:rsidR="00062661" w14:paraId="7D42B33D" w14:textId="77777777" w:rsidTr="005D3A4D">
        <w:trPr>
          <w:cnfStyle w:val="100000000000" w:firstRow="1" w:lastRow="0" w:firstColumn="0" w:lastColumn="0" w:oddVBand="0" w:evenVBand="0" w:oddHBand="0" w:evenHBand="0" w:firstRowFirstColumn="0" w:firstRowLastColumn="0" w:lastRowFirstColumn="0" w:lastRowLastColumn="0"/>
        </w:trPr>
        <w:tc>
          <w:tcPr>
            <w:tcW w:w="1560" w:type="dxa"/>
            <w:shd w:val="clear" w:color="auto" w:fill="95C123"/>
          </w:tcPr>
          <w:p w14:paraId="4566AA0F" w14:textId="77777777" w:rsidR="00062661" w:rsidRPr="00B45A0F" w:rsidRDefault="00062661" w:rsidP="005D3A4D">
            <w:pPr>
              <w:pStyle w:val="Bullet1"/>
              <w:numPr>
                <w:ilvl w:val="0"/>
                <w:numId w:val="0"/>
              </w:numPr>
              <w:rPr>
                <w:rFonts w:ascii="Arial" w:hAnsi="Arial" w:cs="Arial"/>
                <w:color w:val="FFFFFF" w:themeColor="background1"/>
                <w:sz w:val="20"/>
                <w:szCs w:val="20"/>
                <w:lang w:eastAsia="en-AU"/>
              </w:rPr>
            </w:pPr>
            <w:r w:rsidRPr="00B45A0F">
              <w:rPr>
                <w:rFonts w:ascii="Arial" w:hAnsi="Arial" w:cs="Arial"/>
                <w:color w:val="FFFFFF" w:themeColor="background1"/>
                <w:sz w:val="20"/>
                <w:szCs w:val="20"/>
                <w:lang w:eastAsia="en-AU"/>
              </w:rPr>
              <w:lastRenderedPageBreak/>
              <w:t>Domain</w:t>
            </w:r>
          </w:p>
        </w:tc>
        <w:tc>
          <w:tcPr>
            <w:tcW w:w="3804" w:type="dxa"/>
            <w:shd w:val="clear" w:color="auto" w:fill="95C123"/>
          </w:tcPr>
          <w:p w14:paraId="0E96DD2A" w14:textId="77777777" w:rsidR="00062661" w:rsidRPr="00B45A0F" w:rsidRDefault="00062661" w:rsidP="005D3A4D">
            <w:pPr>
              <w:pStyle w:val="Bullet1"/>
              <w:numPr>
                <w:ilvl w:val="0"/>
                <w:numId w:val="0"/>
              </w:numPr>
              <w:rPr>
                <w:rFonts w:ascii="Arial" w:hAnsi="Arial" w:cs="Arial"/>
                <w:color w:val="FFFFFF" w:themeColor="background1"/>
                <w:sz w:val="20"/>
                <w:szCs w:val="20"/>
                <w:lang w:eastAsia="en-AU"/>
              </w:rPr>
            </w:pPr>
            <w:commentRangeStart w:id="0"/>
            <w:r w:rsidRPr="00B45A0F">
              <w:rPr>
                <w:rFonts w:ascii="Arial" w:hAnsi="Arial" w:cs="Arial"/>
                <w:color w:val="FFFFFF" w:themeColor="background1"/>
                <w:sz w:val="20"/>
                <w:szCs w:val="20"/>
                <w:lang w:eastAsia="en-AU"/>
              </w:rPr>
              <w:t>Toolkit Resource</w:t>
            </w:r>
          </w:p>
        </w:tc>
        <w:tc>
          <w:tcPr>
            <w:tcW w:w="4678" w:type="dxa"/>
            <w:shd w:val="clear" w:color="auto" w:fill="95C123"/>
          </w:tcPr>
          <w:p w14:paraId="4CAF5452" w14:textId="77777777" w:rsidR="00062661" w:rsidRPr="00B45A0F" w:rsidRDefault="00062661" w:rsidP="005D3A4D">
            <w:pPr>
              <w:pStyle w:val="Bullet1"/>
              <w:numPr>
                <w:ilvl w:val="0"/>
                <w:numId w:val="0"/>
              </w:numPr>
              <w:rPr>
                <w:rFonts w:ascii="Arial" w:hAnsi="Arial" w:cs="Arial"/>
                <w:sz w:val="20"/>
                <w:szCs w:val="20"/>
                <w:lang w:eastAsia="en-AU"/>
              </w:rPr>
            </w:pPr>
            <w:r w:rsidRPr="00B45A0F">
              <w:rPr>
                <w:rFonts w:ascii="Arial" w:hAnsi="Arial" w:cs="Arial"/>
                <w:color w:val="FFFFFF" w:themeColor="background1"/>
                <w:sz w:val="20"/>
                <w:szCs w:val="20"/>
                <w:lang w:eastAsia="en-AU"/>
              </w:rPr>
              <w:t>Purpose</w:t>
            </w:r>
            <w:commentRangeEnd w:id="0"/>
            <w:r w:rsidRPr="00B45A0F">
              <w:rPr>
                <w:rStyle w:val="CommentReference"/>
                <w:rFonts w:ascii="Arial" w:hAnsi="Arial" w:cs="Arial"/>
                <w:sz w:val="20"/>
                <w:szCs w:val="20"/>
                <w:lang w:eastAsia="en-AU"/>
              </w:rPr>
              <w:commentReference w:id="0"/>
            </w:r>
          </w:p>
        </w:tc>
      </w:tr>
      <w:tr w:rsidR="00062661" w14:paraId="7442AC0D" w14:textId="77777777" w:rsidTr="005D3A4D">
        <w:tc>
          <w:tcPr>
            <w:tcW w:w="1560" w:type="dxa"/>
            <w:vMerge w:val="restart"/>
            <w:shd w:val="clear" w:color="auto" w:fill="CFE09C"/>
          </w:tcPr>
          <w:p w14:paraId="02E3291E" w14:textId="77777777" w:rsidR="00062661" w:rsidRPr="00923F4D" w:rsidRDefault="00062661" w:rsidP="00062661">
            <w:pPr>
              <w:pStyle w:val="Bullet1"/>
              <w:numPr>
                <w:ilvl w:val="0"/>
                <w:numId w:val="0"/>
              </w:numPr>
              <w:rPr>
                <w:rFonts w:ascii="Arial" w:hAnsi="Arial" w:cs="Arial"/>
                <w:b/>
                <w:bCs/>
                <w:sz w:val="20"/>
                <w:szCs w:val="20"/>
                <w:lang w:eastAsia="en-AU"/>
              </w:rPr>
            </w:pPr>
          </w:p>
          <w:p w14:paraId="5FAD2469" w14:textId="77777777" w:rsidR="00062661" w:rsidRPr="00923F4D" w:rsidRDefault="00062661" w:rsidP="00062661">
            <w:pPr>
              <w:pStyle w:val="Bullet1"/>
              <w:numPr>
                <w:ilvl w:val="0"/>
                <w:numId w:val="0"/>
              </w:numPr>
              <w:rPr>
                <w:rFonts w:ascii="Arial" w:hAnsi="Arial" w:cs="Arial"/>
                <w:b/>
                <w:bCs/>
                <w:sz w:val="20"/>
                <w:szCs w:val="20"/>
                <w:lang w:eastAsia="en-AU"/>
              </w:rPr>
            </w:pPr>
            <w:r w:rsidRPr="00923F4D">
              <w:rPr>
                <w:rFonts w:ascii="Arial" w:hAnsi="Arial" w:cs="Arial"/>
                <w:b/>
                <w:bCs/>
                <w:sz w:val="20"/>
                <w:szCs w:val="20"/>
                <w:lang w:eastAsia="en-AU"/>
              </w:rPr>
              <w:t>Governance</w:t>
            </w:r>
          </w:p>
        </w:tc>
        <w:tc>
          <w:tcPr>
            <w:tcW w:w="3804" w:type="dxa"/>
            <w:shd w:val="clear" w:color="auto" w:fill="EBF3DB"/>
          </w:tcPr>
          <w:p w14:paraId="105AB90D" w14:textId="38E92A5A"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How to Use the Toolkit in Practice</w:t>
            </w:r>
          </w:p>
        </w:tc>
        <w:tc>
          <w:tcPr>
            <w:tcW w:w="4678" w:type="dxa"/>
            <w:shd w:val="clear" w:color="auto" w:fill="EBF3DB"/>
          </w:tcPr>
          <w:p w14:paraId="0379D73B" w14:textId="693697D2" w:rsidR="00062661" w:rsidRPr="00B45A0F" w:rsidRDefault="004F1D95"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Learn to navigate and implement the </w:t>
            </w:r>
            <w:r w:rsidR="00654D9B">
              <w:rPr>
                <w:rFonts w:ascii="Arial" w:hAnsi="Arial" w:cs="Arial"/>
                <w:sz w:val="20"/>
                <w:szCs w:val="20"/>
                <w:lang w:eastAsia="en-AU"/>
              </w:rPr>
              <w:t>C</w:t>
            </w:r>
            <w:r w:rsidR="007C4DA7">
              <w:rPr>
                <w:rFonts w:ascii="Arial" w:hAnsi="Arial" w:cs="Arial"/>
                <w:sz w:val="20"/>
                <w:szCs w:val="20"/>
                <w:lang w:eastAsia="en-AU"/>
              </w:rPr>
              <w:t>BD</w:t>
            </w:r>
            <w:r w:rsidR="00654D9B">
              <w:rPr>
                <w:rFonts w:ascii="Arial" w:hAnsi="Arial" w:cs="Arial"/>
                <w:sz w:val="20"/>
                <w:szCs w:val="20"/>
                <w:lang w:eastAsia="en-AU"/>
              </w:rPr>
              <w:t xml:space="preserve"> Emergency Management Toolkit. </w:t>
            </w:r>
          </w:p>
        </w:tc>
      </w:tr>
      <w:tr w:rsidR="00062661" w14:paraId="04A37D55"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3CCF62B6"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7B0AC0D9" w14:textId="4DEBE880"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Good–Better–Best Capability Checklist</w:t>
            </w:r>
          </w:p>
        </w:tc>
        <w:tc>
          <w:tcPr>
            <w:tcW w:w="4678" w:type="dxa"/>
            <w:shd w:val="clear" w:color="auto" w:fill="F8FBF3"/>
          </w:tcPr>
          <w:p w14:paraId="669531C7" w14:textId="2D7D8FC4" w:rsidR="00062661" w:rsidRPr="00B45A0F" w:rsidRDefault="00046796"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Assess your emergency management preparedness maturity and identify </w:t>
            </w:r>
            <w:r w:rsidR="00260740">
              <w:rPr>
                <w:rFonts w:ascii="Arial" w:hAnsi="Arial" w:cs="Arial"/>
                <w:sz w:val="20"/>
                <w:szCs w:val="20"/>
                <w:lang w:eastAsia="en-AU"/>
              </w:rPr>
              <w:t xml:space="preserve">pillars for improvement. </w:t>
            </w:r>
          </w:p>
        </w:tc>
      </w:tr>
      <w:tr w:rsidR="00062661" w14:paraId="7D59DD32" w14:textId="77777777" w:rsidTr="005D3A4D">
        <w:tc>
          <w:tcPr>
            <w:tcW w:w="1560" w:type="dxa"/>
            <w:vMerge w:val="restart"/>
            <w:shd w:val="clear" w:color="auto" w:fill="CFE09C"/>
          </w:tcPr>
          <w:p w14:paraId="0F0BD7C9" w14:textId="77777777" w:rsidR="00062661" w:rsidRPr="00923F4D" w:rsidRDefault="00062661" w:rsidP="00062661">
            <w:pPr>
              <w:pStyle w:val="Bullet1"/>
              <w:numPr>
                <w:ilvl w:val="0"/>
                <w:numId w:val="0"/>
              </w:numPr>
              <w:rPr>
                <w:rFonts w:ascii="Arial" w:hAnsi="Arial" w:cs="Arial"/>
                <w:b/>
                <w:bCs/>
                <w:sz w:val="20"/>
                <w:szCs w:val="20"/>
                <w:lang w:eastAsia="en-AU"/>
              </w:rPr>
            </w:pPr>
          </w:p>
          <w:p w14:paraId="5461EC72" w14:textId="77777777" w:rsidR="00062661" w:rsidRPr="00923F4D" w:rsidRDefault="00062661" w:rsidP="00062661">
            <w:pPr>
              <w:pStyle w:val="Bullet1"/>
              <w:numPr>
                <w:ilvl w:val="0"/>
                <w:numId w:val="0"/>
              </w:numPr>
              <w:rPr>
                <w:rFonts w:ascii="Arial" w:hAnsi="Arial" w:cs="Arial"/>
                <w:b/>
                <w:bCs/>
                <w:sz w:val="20"/>
                <w:szCs w:val="20"/>
                <w:lang w:eastAsia="en-AU"/>
              </w:rPr>
            </w:pPr>
          </w:p>
          <w:p w14:paraId="4BB8B49E" w14:textId="77777777" w:rsidR="00062661" w:rsidRPr="00923F4D" w:rsidRDefault="00062661" w:rsidP="00062661">
            <w:pPr>
              <w:pStyle w:val="Bullet1"/>
              <w:numPr>
                <w:ilvl w:val="0"/>
                <w:numId w:val="0"/>
              </w:numPr>
              <w:rPr>
                <w:rFonts w:ascii="Arial" w:hAnsi="Arial" w:cs="Arial"/>
                <w:b/>
                <w:bCs/>
                <w:sz w:val="20"/>
                <w:szCs w:val="20"/>
                <w:lang w:eastAsia="en-AU"/>
              </w:rPr>
            </w:pPr>
          </w:p>
          <w:p w14:paraId="07F5FE20" w14:textId="77777777" w:rsidR="00062661" w:rsidRPr="00923F4D" w:rsidRDefault="00062661" w:rsidP="00062661">
            <w:pPr>
              <w:pStyle w:val="Bullet1"/>
              <w:numPr>
                <w:ilvl w:val="0"/>
                <w:numId w:val="0"/>
              </w:numPr>
              <w:rPr>
                <w:rFonts w:ascii="Arial" w:hAnsi="Arial" w:cs="Arial"/>
                <w:b/>
                <w:bCs/>
                <w:sz w:val="20"/>
                <w:szCs w:val="20"/>
                <w:lang w:eastAsia="en-AU"/>
              </w:rPr>
            </w:pPr>
          </w:p>
          <w:p w14:paraId="0322B43F" w14:textId="77777777" w:rsidR="00062661" w:rsidRPr="00923F4D" w:rsidRDefault="00062661" w:rsidP="00062661">
            <w:pPr>
              <w:pStyle w:val="Bullet1"/>
              <w:numPr>
                <w:ilvl w:val="0"/>
                <w:numId w:val="0"/>
              </w:numPr>
              <w:rPr>
                <w:rFonts w:ascii="Arial" w:hAnsi="Arial" w:cs="Arial"/>
                <w:b/>
                <w:bCs/>
                <w:sz w:val="20"/>
                <w:szCs w:val="20"/>
                <w:lang w:eastAsia="en-AU"/>
              </w:rPr>
            </w:pPr>
          </w:p>
          <w:p w14:paraId="65698537" w14:textId="77777777" w:rsidR="00062661" w:rsidRPr="00923F4D" w:rsidRDefault="00062661" w:rsidP="00062661">
            <w:pPr>
              <w:pStyle w:val="Bullet1"/>
              <w:numPr>
                <w:ilvl w:val="0"/>
                <w:numId w:val="0"/>
              </w:numPr>
              <w:rPr>
                <w:rFonts w:ascii="Arial" w:hAnsi="Arial" w:cs="Arial"/>
                <w:b/>
                <w:bCs/>
                <w:sz w:val="20"/>
                <w:szCs w:val="20"/>
                <w:lang w:eastAsia="en-AU"/>
              </w:rPr>
            </w:pPr>
            <w:r w:rsidRPr="00923F4D">
              <w:rPr>
                <w:rFonts w:ascii="Arial" w:hAnsi="Arial" w:cs="Arial"/>
                <w:b/>
                <w:bCs/>
                <w:sz w:val="20"/>
                <w:szCs w:val="20"/>
                <w:lang w:eastAsia="en-AU"/>
              </w:rPr>
              <w:t>Planning</w:t>
            </w:r>
          </w:p>
        </w:tc>
        <w:tc>
          <w:tcPr>
            <w:tcW w:w="3804" w:type="dxa"/>
            <w:shd w:val="clear" w:color="auto" w:fill="EBF3DB"/>
          </w:tcPr>
          <w:p w14:paraId="1C286EE5"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Climate Hazard Planning Prompts</w:t>
            </w:r>
          </w:p>
        </w:tc>
        <w:tc>
          <w:tcPr>
            <w:tcW w:w="4678" w:type="dxa"/>
            <w:shd w:val="clear" w:color="auto" w:fill="EBF3DB"/>
          </w:tcPr>
          <w:p w14:paraId="5632FE7D" w14:textId="3E35C86F" w:rsidR="00062661" w:rsidRPr="00B45A0F" w:rsidRDefault="005B2572"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Document </w:t>
            </w:r>
            <w:r w:rsidR="00062661" w:rsidRPr="00B45A0F">
              <w:rPr>
                <w:rFonts w:ascii="Arial" w:hAnsi="Arial" w:cs="Arial"/>
                <w:sz w:val="20"/>
                <w:szCs w:val="20"/>
                <w:lang w:eastAsia="en-AU"/>
              </w:rPr>
              <w:t xml:space="preserve">climate-related operational risks and </w:t>
            </w:r>
            <w:r>
              <w:rPr>
                <w:rFonts w:ascii="Arial" w:hAnsi="Arial" w:cs="Arial"/>
                <w:sz w:val="20"/>
                <w:szCs w:val="20"/>
                <w:lang w:eastAsia="en-AU"/>
              </w:rPr>
              <w:t xml:space="preserve">associated </w:t>
            </w:r>
            <w:r w:rsidR="00062661" w:rsidRPr="00B45A0F">
              <w:rPr>
                <w:rFonts w:ascii="Arial" w:hAnsi="Arial" w:cs="Arial"/>
                <w:sz w:val="20"/>
                <w:szCs w:val="20"/>
                <w:lang w:eastAsia="en-AU"/>
              </w:rPr>
              <w:t>preparedness</w:t>
            </w:r>
            <w:r>
              <w:rPr>
                <w:rFonts w:ascii="Arial" w:hAnsi="Arial" w:cs="Arial"/>
                <w:sz w:val="20"/>
                <w:szCs w:val="20"/>
                <w:lang w:eastAsia="en-AU"/>
              </w:rPr>
              <w:t>/response</w:t>
            </w:r>
            <w:r w:rsidR="00062661" w:rsidRPr="00B45A0F">
              <w:rPr>
                <w:rFonts w:ascii="Arial" w:hAnsi="Arial" w:cs="Arial"/>
                <w:sz w:val="20"/>
                <w:szCs w:val="20"/>
                <w:lang w:eastAsia="en-AU"/>
              </w:rPr>
              <w:t xml:space="preserve"> arrangements.</w:t>
            </w:r>
          </w:p>
        </w:tc>
      </w:tr>
      <w:tr w:rsidR="00062661" w14:paraId="523FCD69"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7B87B48E"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2026B349"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Lockdown and Shelter-In-Place Checklist</w:t>
            </w:r>
          </w:p>
        </w:tc>
        <w:tc>
          <w:tcPr>
            <w:tcW w:w="4678" w:type="dxa"/>
            <w:shd w:val="clear" w:color="auto" w:fill="F8FBF3"/>
          </w:tcPr>
          <w:p w14:paraId="07B8A933" w14:textId="7FB68B7D" w:rsidR="00062661" w:rsidRPr="00B45A0F" w:rsidRDefault="00B55F69"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Ensure </w:t>
            </w:r>
            <w:r w:rsidR="00062661" w:rsidRPr="00B45A0F">
              <w:rPr>
                <w:rFonts w:ascii="Arial" w:hAnsi="Arial" w:cs="Arial"/>
                <w:sz w:val="20"/>
                <w:szCs w:val="20"/>
                <w:lang w:eastAsia="en-AU"/>
              </w:rPr>
              <w:t>lockdown and</w:t>
            </w:r>
            <w:r>
              <w:rPr>
                <w:rFonts w:ascii="Arial" w:hAnsi="Arial" w:cs="Arial"/>
                <w:sz w:val="20"/>
                <w:szCs w:val="20"/>
                <w:lang w:eastAsia="en-AU"/>
              </w:rPr>
              <w:t xml:space="preserve"> or</w:t>
            </w:r>
            <w:r w:rsidR="00062661" w:rsidRPr="00B45A0F">
              <w:rPr>
                <w:rFonts w:ascii="Arial" w:hAnsi="Arial" w:cs="Arial"/>
                <w:sz w:val="20"/>
                <w:szCs w:val="20"/>
                <w:lang w:eastAsia="en-AU"/>
              </w:rPr>
              <w:t xml:space="preserve"> shelter-in-place arrangements</w:t>
            </w:r>
            <w:r>
              <w:rPr>
                <w:rFonts w:ascii="Arial" w:hAnsi="Arial" w:cs="Arial"/>
                <w:sz w:val="20"/>
                <w:szCs w:val="20"/>
                <w:lang w:eastAsia="en-AU"/>
              </w:rPr>
              <w:t xml:space="preserve"> are </w:t>
            </w:r>
            <w:r w:rsidR="00155FB6">
              <w:rPr>
                <w:rFonts w:ascii="Arial" w:hAnsi="Arial" w:cs="Arial"/>
                <w:sz w:val="20"/>
                <w:szCs w:val="20"/>
                <w:lang w:eastAsia="en-AU"/>
              </w:rPr>
              <w:t xml:space="preserve">thorough and </w:t>
            </w:r>
            <w:r w:rsidR="0091334F">
              <w:rPr>
                <w:rFonts w:ascii="Arial" w:hAnsi="Arial" w:cs="Arial"/>
                <w:sz w:val="20"/>
                <w:szCs w:val="20"/>
                <w:lang w:eastAsia="en-AU"/>
              </w:rPr>
              <w:t>documented.</w:t>
            </w:r>
          </w:p>
        </w:tc>
      </w:tr>
      <w:tr w:rsidR="00062661" w14:paraId="4FA14153" w14:textId="77777777" w:rsidTr="005D3A4D">
        <w:tc>
          <w:tcPr>
            <w:tcW w:w="1560" w:type="dxa"/>
            <w:vMerge/>
            <w:shd w:val="clear" w:color="auto" w:fill="CFE09C"/>
          </w:tcPr>
          <w:p w14:paraId="74B824B6"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576545B7"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Prolonged Disruption and Recovery Planning Checklist</w:t>
            </w:r>
          </w:p>
        </w:tc>
        <w:tc>
          <w:tcPr>
            <w:tcW w:w="4678" w:type="dxa"/>
            <w:shd w:val="clear" w:color="auto" w:fill="EBF3DB"/>
          </w:tcPr>
          <w:p w14:paraId="63305106" w14:textId="0F3781C7" w:rsidR="00062661" w:rsidRPr="00B45A0F" w:rsidRDefault="0091334F"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Plan</w:t>
            </w:r>
            <w:r w:rsidR="00062661" w:rsidRPr="00B45A0F">
              <w:rPr>
                <w:rFonts w:ascii="Arial" w:hAnsi="Arial" w:cs="Arial"/>
                <w:sz w:val="20"/>
                <w:szCs w:val="20"/>
                <w:lang w:eastAsia="en-AU"/>
              </w:rPr>
              <w:t xml:space="preserve"> for prolonged operational disruptions and </w:t>
            </w:r>
            <w:r>
              <w:rPr>
                <w:rFonts w:ascii="Arial" w:hAnsi="Arial" w:cs="Arial"/>
                <w:sz w:val="20"/>
                <w:szCs w:val="20"/>
                <w:lang w:eastAsia="en-AU"/>
              </w:rPr>
              <w:t xml:space="preserve">associated </w:t>
            </w:r>
            <w:r w:rsidR="00062661" w:rsidRPr="00B45A0F">
              <w:rPr>
                <w:rFonts w:ascii="Arial" w:hAnsi="Arial" w:cs="Arial"/>
                <w:sz w:val="20"/>
                <w:szCs w:val="20"/>
                <w:lang w:eastAsia="en-AU"/>
              </w:rPr>
              <w:t>recovery activities.</w:t>
            </w:r>
          </w:p>
        </w:tc>
      </w:tr>
      <w:tr w:rsidR="00062661" w14:paraId="1B6B0FC8"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7853E770"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45E2AF2B"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Communication Disruption Guide</w:t>
            </w:r>
          </w:p>
        </w:tc>
        <w:tc>
          <w:tcPr>
            <w:tcW w:w="4678" w:type="dxa"/>
            <w:shd w:val="clear" w:color="auto" w:fill="F8FBF3"/>
          </w:tcPr>
          <w:p w14:paraId="2466EBA6" w14:textId="3B4D9A68" w:rsidR="00062661" w:rsidRPr="00B45A0F" w:rsidRDefault="00DB32C7"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Determine and document secondary communication protocols in case of communications disruptions during emergencies. </w:t>
            </w:r>
          </w:p>
        </w:tc>
      </w:tr>
      <w:tr w:rsidR="00062661" w14:paraId="0C788FC9" w14:textId="77777777" w:rsidTr="005D3A4D">
        <w:tc>
          <w:tcPr>
            <w:tcW w:w="1560" w:type="dxa"/>
            <w:vMerge/>
            <w:shd w:val="clear" w:color="auto" w:fill="CFE09C"/>
          </w:tcPr>
          <w:p w14:paraId="75492247"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11B4E798"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Response Decision Aid – Evacuate, Lockdown or Shelter-In-Place</w:t>
            </w:r>
          </w:p>
        </w:tc>
        <w:tc>
          <w:tcPr>
            <w:tcW w:w="4678" w:type="dxa"/>
            <w:shd w:val="clear" w:color="auto" w:fill="EBF3DB"/>
          </w:tcPr>
          <w:p w14:paraId="642577FA" w14:textId="6A606748" w:rsidR="00062661" w:rsidRPr="00B45A0F" w:rsidRDefault="00296F4C"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 xml:space="preserve">Easily determine the correct protective action following a simple guide. </w:t>
            </w:r>
          </w:p>
        </w:tc>
      </w:tr>
      <w:tr w:rsidR="00062661" w14:paraId="208D4F64"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val="restart"/>
            <w:shd w:val="clear" w:color="auto" w:fill="CFE09C"/>
          </w:tcPr>
          <w:p w14:paraId="0830BCF5" w14:textId="77777777" w:rsidR="00062661" w:rsidRPr="00923F4D" w:rsidRDefault="00062661" w:rsidP="00062661">
            <w:pPr>
              <w:pStyle w:val="Bullet1"/>
              <w:numPr>
                <w:ilvl w:val="0"/>
                <w:numId w:val="0"/>
              </w:numPr>
              <w:rPr>
                <w:rFonts w:ascii="Arial" w:hAnsi="Arial" w:cs="Arial"/>
                <w:b/>
                <w:bCs/>
                <w:sz w:val="20"/>
                <w:szCs w:val="20"/>
                <w:lang w:eastAsia="en-AU"/>
              </w:rPr>
            </w:pPr>
          </w:p>
          <w:p w14:paraId="50CDB98D" w14:textId="77777777" w:rsidR="00062661" w:rsidRPr="00923F4D" w:rsidRDefault="00062661" w:rsidP="00062661">
            <w:pPr>
              <w:pStyle w:val="Bullet1"/>
              <w:numPr>
                <w:ilvl w:val="0"/>
                <w:numId w:val="0"/>
              </w:numPr>
              <w:rPr>
                <w:rFonts w:ascii="Arial" w:hAnsi="Arial" w:cs="Arial"/>
                <w:b/>
                <w:bCs/>
                <w:sz w:val="20"/>
                <w:szCs w:val="20"/>
                <w:lang w:eastAsia="en-AU"/>
              </w:rPr>
            </w:pPr>
          </w:p>
          <w:p w14:paraId="7F54390D" w14:textId="77777777" w:rsidR="00062661" w:rsidRPr="00923F4D" w:rsidRDefault="00062661" w:rsidP="00062661">
            <w:pPr>
              <w:pStyle w:val="Bullet1"/>
              <w:numPr>
                <w:ilvl w:val="0"/>
                <w:numId w:val="0"/>
              </w:numPr>
              <w:rPr>
                <w:rFonts w:ascii="Arial" w:hAnsi="Arial" w:cs="Arial"/>
                <w:b/>
                <w:bCs/>
                <w:sz w:val="20"/>
                <w:szCs w:val="20"/>
                <w:lang w:eastAsia="en-AU"/>
              </w:rPr>
            </w:pPr>
          </w:p>
          <w:p w14:paraId="5D1D97F7" w14:textId="77777777" w:rsidR="00062661" w:rsidRPr="00923F4D" w:rsidRDefault="00062661" w:rsidP="00062661">
            <w:pPr>
              <w:pStyle w:val="Bullet1"/>
              <w:numPr>
                <w:ilvl w:val="0"/>
                <w:numId w:val="0"/>
              </w:numPr>
              <w:rPr>
                <w:rFonts w:ascii="Arial" w:hAnsi="Arial" w:cs="Arial"/>
                <w:b/>
                <w:bCs/>
                <w:sz w:val="20"/>
                <w:szCs w:val="20"/>
                <w:lang w:eastAsia="en-AU"/>
              </w:rPr>
            </w:pPr>
          </w:p>
          <w:p w14:paraId="535BBC77" w14:textId="77777777" w:rsidR="00062661" w:rsidRPr="00923F4D" w:rsidRDefault="00062661" w:rsidP="00062661">
            <w:pPr>
              <w:pStyle w:val="Bullet1"/>
              <w:numPr>
                <w:ilvl w:val="0"/>
                <w:numId w:val="0"/>
              </w:numPr>
              <w:rPr>
                <w:rFonts w:ascii="Arial" w:hAnsi="Arial" w:cs="Arial"/>
                <w:b/>
                <w:bCs/>
                <w:sz w:val="20"/>
                <w:szCs w:val="20"/>
                <w:lang w:eastAsia="en-AU"/>
              </w:rPr>
            </w:pPr>
          </w:p>
          <w:p w14:paraId="015A03FD" w14:textId="77777777" w:rsidR="00062661" w:rsidRPr="00923F4D" w:rsidRDefault="00062661" w:rsidP="00062661">
            <w:pPr>
              <w:pStyle w:val="Bullet1"/>
              <w:numPr>
                <w:ilvl w:val="0"/>
                <w:numId w:val="0"/>
              </w:numPr>
              <w:rPr>
                <w:rFonts w:ascii="Arial" w:hAnsi="Arial" w:cs="Arial"/>
                <w:b/>
                <w:bCs/>
                <w:sz w:val="20"/>
                <w:szCs w:val="20"/>
                <w:lang w:eastAsia="en-AU"/>
              </w:rPr>
            </w:pPr>
          </w:p>
          <w:p w14:paraId="7557C3D1" w14:textId="77777777" w:rsidR="00062661" w:rsidRPr="00923F4D" w:rsidRDefault="00062661" w:rsidP="00062661">
            <w:pPr>
              <w:pStyle w:val="Bullet1"/>
              <w:numPr>
                <w:ilvl w:val="0"/>
                <w:numId w:val="0"/>
              </w:numPr>
              <w:rPr>
                <w:rFonts w:ascii="Arial" w:hAnsi="Arial" w:cs="Arial"/>
                <w:b/>
                <w:bCs/>
                <w:sz w:val="20"/>
                <w:szCs w:val="20"/>
                <w:lang w:eastAsia="en-AU"/>
              </w:rPr>
            </w:pPr>
            <w:r w:rsidRPr="00923F4D">
              <w:rPr>
                <w:rFonts w:ascii="Arial" w:hAnsi="Arial" w:cs="Arial"/>
                <w:b/>
                <w:bCs/>
                <w:sz w:val="20"/>
                <w:szCs w:val="20"/>
                <w:lang w:eastAsia="en-AU"/>
              </w:rPr>
              <w:t>Collaboration</w:t>
            </w:r>
          </w:p>
        </w:tc>
        <w:tc>
          <w:tcPr>
            <w:tcW w:w="3804" w:type="dxa"/>
            <w:shd w:val="clear" w:color="auto" w:fill="F8FBF3"/>
          </w:tcPr>
          <w:p w14:paraId="430030FF"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Precinct Coordination Matrix</w:t>
            </w:r>
          </w:p>
        </w:tc>
        <w:tc>
          <w:tcPr>
            <w:tcW w:w="4678" w:type="dxa"/>
            <w:shd w:val="clear" w:color="auto" w:fill="F8FBF3"/>
          </w:tcPr>
          <w:p w14:paraId="7964869E" w14:textId="770C6169" w:rsidR="00062661" w:rsidRPr="00B45A0F" w:rsidRDefault="00E00CC3"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Plan for</w:t>
            </w:r>
            <w:r w:rsidR="00062661" w:rsidRPr="00B45A0F">
              <w:rPr>
                <w:rFonts w:ascii="Arial" w:hAnsi="Arial" w:cs="Arial"/>
                <w:sz w:val="20"/>
                <w:szCs w:val="20"/>
                <w:lang w:eastAsia="en-AU"/>
              </w:rPr>
              <w:t xml:space="preserve"> coordination and information sharing across neighbouring buildings and precinct environments.</w:t>
            </w:r>
          </w:p>
        </w:tc>
      </w:tr>
      <w:tr w:rsidR="00062661" w14:paraId="0B6DEC48" w14:textId="77777777" w:rsidTr="005D3A4D">
        <w:tc>
          <w:tcPr>
            <w:tcW w:w="1560" w:type="dxa"/>
            <w:vMerge/>
            <w:shd w:val="clear" w:color="auto" w:fill="CFE09C"/>
          </w:tcPr>
          <w:p w14:paraId="682B69B2"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6482BE9C"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Precinct Communication and Coordination Guide</w:t>
            </w:r>
          </w:p>
        </w:tc>
        <w:tc>
          <w:tcPr>
            <w:tcW w:w="4678" w:type="dxa"/>
            <w:shd w:val="clear" w:color="auto" w:fill="EBF3DB"/>
          </w:tcPr>
          <w:p w14:paraId="06D74490" w14:textId="5C917CAD" w:rsidR="00062661" w:rsidRPr="00B45A0F" w:rsidRDefault="005A11B7"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Document</w:t>
            </w:r>
            <w:r w:rsidR="00062661" w:rsidRPr="00B45A0F">
              <w:rPr>
                <w:rFonts w:ascii="Arial" w:hAnsi="Arial" w:cs="Arial"/>
                <w:sz w:val="20"/>
                <w:szCs w:val="20"/>
                <w:lang w:eastAsia="en-AU"/>
              </w:rPr>
              <w:t xml:space="preserve"> communication and coordination arrangements between buildings and external stakeholders during incidents.</w:t>
            </w:r>
          </w:p>
        </w:tc>
      </w:tr>
      <w:tr w:rsidR="00062661" w14:paraId="279EFF3B"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130E40D4"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24D9C11C"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Facility Critical Information For Emergency Services</w:t>
            </w:r>
          </w:p>
        </w:tc>
        <w:tc>
          <w:tcPr>
            <w:tcW w:w="4678" w:type="dxa"/>
            <w:shd w:val="clear" w:color="auto" w:fill="F8FBF3"/>
          </w:tcPr>
          <w:p w14:paraId="50D21C92" w14:textId="778C008B" w:rsidR="00062661" w:rsidRPr="00B45A0F" w:rsidRDefault="006E11B0"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Pre-document</w:t>
            </w:r>
            <w:r w:rsidR="00062661" w:rsidRPr="00B45A0F">
              <w:rPr>
                <w:rFonts w:ascii="Arial" w:hAnsi="Arial" w:cs="Arial"/>
                <w:sz w:val="20"/>
                <w:szCs w:val="20"/>
                <w:lang w:eastAsia="en-AU"/>
              </w:rPr>
              <w:t xml:space="preserve"> critical facility and incident information to </w:t>
            </w:r>
            <w:r>
              <w:rPr>
                <w:rFonts w:ascii="Arial" w:hAnsi="Arial" w:cs="Arial"/>
                <w:sz w:val="20"/>
                <w:szCs w:val="20"/>
                <w:lang w:eastAsia="en-AU"/>
              </w:rPr>
              <w:t xml:space="preserve">supply to </w:t>
            </w:r>
            <w:r w:rsidR="00062661" w:rsidRPr="00B45A0F">
              <w:rPr>
                <w:rFonts w:ascii="Arial" w:hAnsi="Arial" w:cs="Arial"/>
                <w:sz w:val="20"/>
                <w:szCs w:val="20"/>
                <w:lang w:eastAsia="en-AU"/>
              </w:rPr>
              <w:t>responding emergency services.</w:t>
            </w:r>
          </w:p>
        </w:tc>
      </w:tr>
      <w:tr w:rsidR="00062661" w14:paraId="36C4BE50" w14:textId="77777777" w:rsidTr="005D3A4D">
        <w:tc>
          <w:tcPr>
            <w:tcW w:w="1560" w:type="dxa"/>
            <w:vMerge/>
            <w:shd w:val="clear" w:color="auto" w:fill="CFE09C"/>
          </w:tcPr>
          <w:p w14:paraId="19B24D62"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684F5EFF"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Message Template</w:t>
            </w:r>
          </w:p>
        </w:tc>
        <w:tc>
          <w:tcPr>
            <w:tcW w:w="4678" w:type="dxa"/>
            <w:shd w:val="clear" w:color="auto" w:fill="EBF3DB"/>
          </w:tcPr>
          <w:p w14:paraId="47FC57E5" w14:textId="7AD0C245" w:rsidR="00062661" w:rsidRPr="00B45A0F" w:rsidRDefault="00C27569"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Prepare</w:t>
            </w:r>
            <w:r w:rsidR="00062661" w:rsidRPr="00B45A0F">
              <w:rPr>
                <w:rFonts w:ascii="Arial" w:hAnsi="Arial" w:cs="Arial"/>
                <w:sz w:val="20"/>
                <w:szCs w:val="20"/>
                <w:lang w:eastAsia="en-AU"/>
              </w:rPr>
              <w:t xml:space="preserve"> clear and consistent emergency communications</w:t>
            </w:r>
            <w:r>
              <w:rPr>
                <w:rFonts w:ascii="Arial" w:hAnsi="Arial" w:cs="Arial"/>
                <w:sz w:val="20"/>
                <w:szCs w:val="20"/>
                <w:lang w:eastAsia="en-AU"/>
              </w:rPr>
              <w:t xml:space="preserve"> for prompt distribution</w:t>
            </w:r>
            <w:r w:rsidR="00062661" w:rsidRPr="00B45A0F">
              <w:rPr>
                <w:rFonts w:ascii="Arial" w:hAnsi="Arial" w:cs="Arial"/>
                <w:sz w:val="20"/>
                <w:szCs w:val="20"/>
                <w:lang w:eastAsia="en-AU"/>
              </w:rPr>
              <w:t>.</w:t>
            </w:r>
          </w:p>
        </w:tc>
      </w:tr>
      <w:tr w:rsidR="00062661" w14:paraId="5CF08C39"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34C5DFE6"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262B566B"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Internal Handover Template</w:t>
            </w:r>
          </w:p>
        </w:tc>
        <w:tc>
          <w:tcPr>
            <w:tcW w:w="4678" w:type="dxa"/>
            <w:shd w:val="clear" w:color="auto" w:fill="F8FBF3"/>
          </w:tcPr>
          <w:p w14:paraId="679F14DF" w14:textId="10E2ECB4"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S</w:t>
            </w:r>
            <w:r w:rsidR="009860D3">
              <w:rPr>
                <w:rFonts w:ascii="Arial" w:hAnsi="Arial" w:cs="Arial"/>
                <w:sz w:val="20"/>
                <w:szCs w:val="20"/>
                <w:lang w:eastAsia="en-AU"/>
              </w:rPr>
              <w:t>tructure</w:t>
            </w:r>
            <w:r w:rsidRPr="00B45A0F">
              <w:rPr>
                <w:rFonts w:ascii="Arial" w:hAnsi="Arial" w:cs="Arial"/>
                <w:sz w:val="20"/>
                <w:szCs w:val="20"/>
                <w:lang w:eastAsia="en-AU"/>
              </w:rPr>
              <w:t xml:space="preserve"> handover and information sharing between personnel during incidents or disruptions.</w:t>
            </w:r>
          </w:p>
        </w:tc>
      </w:tr>
      <w:tr w:rsidR="00062661" w14:paraId="3D538884" w14:textId="77777777" w:rsidTr="005D3A4D">
        <w:tc>
          <w:tcPr>
            <w:tcW w:w="1560" w:type="dxa"/>
            <w:vMerge w:val="restart"/>
            <w:shd w:val="clear" w:color="auto" w:fill="CFE09C"/>
          </w:tcPr>
          <w:p w14:paraId="13403F0D" w14:textId="77777777" w:rsidR="00062661" w:rsidRPr="00923F4D" w:rsidRDefault="00062661" w:rsidP="00062661">
            <w:pPr>
              <w:pStyle w:val="Bullet1"/>
              <w:numPr>
                <w:ilvl w:val="0"/>
                <w:numId w:val="0"/>
              </w:numPr>
              <w:rPr>
                <w:rFonts w:ascii="Arial" w:hAnsi="Arial" w:cs="Arial"/>
                <w:b/>
                <w:bCs/>
                <w:sz w:val="20"/>
                <w:szCs w:val="20"/>
                <w:lang w:eastAsia="en-AU"/>
              </w:rPr>
            </w:pPr>
          </w:p>
          <w:p w14:paraId="22BF8F1F" w14:textId="77777777" w:rsidR="00062661" w:rsidRPr="00923F4D" w:rsidRDefault="00062661" w:rsidP="00062661">
            <w:pPr>
              <w:pStyle w:val="Bullet1"/>
              <w:numPr>
                <w:ilvl w:val="0"/>
                <w:numId w:val="0"/>
              </w:numPr>
              <w:rPr>
                <w:rFonts w:ascii="Arial" w:hAnsi="Arial" w:cs="Arial"/>
                <w:b/>
                <w:bCs/>
                <w:sz w:val="20"/>
                <w:szCs w:val="20"/>
                <w:lang w:eastAsia="en-AU"/>
              </w:rPr>
            </w:pPr>
          </w:p>
          <w:p w14:paraId="29E250FC" w14:textId="77777777" w:rsidR="00062661" w:rsidRPr="00923F4D" w:rsidRDefault="00062661" w:rsidP="00062661">
            <w:pPr>
              <w:pStyle w:val="Bullet1"/>
              <w:numPr>
                <w:ilvl w:val="0"/>
                <w:numId w:val="0"/>
              </w:numPr>
              <w:rPr>
                <w:rFonts w:ascii="Arial" w:hAnsi="Arial" w:cs="Arial"/>
                <w:b/>
                <w:bCs/>
                <w:sz w:val="20"/>
                <w:szCs w:val="20"/>
                <w:lang w:eastAsia="en-AU"/>
              </w:rPr>
            </w:pPr>
          </w:p>
          <w:p w14:paraId="6A499A47" w14:textId="77777777" w:rsidR="00062661" w:rsidRPr="00923F4D" w:rsidRDefault="00062661" w:rsidP="00062661">
            <w:pPr>
              <w:pStyle w:val="Bullet1"/>
              <w:numPr>
                <w:ilvl w:val="0"/>
                <w:numId w:val="0"/>
              </w:numPr>
              <w:rPr>
                <w:rFonts w:ascii="Arial" w:hAnsi="Arial" w:cs="Arial"/>
                <w:b/>
                <w:bCs/>
                <w:sz w:val="20"/>
                <w:szCs w:val="20"/>
                <w:lang w:eastAsia="en-AU"/>
              </w:rPr>
            </w:pPr>
          </w:p>
          <w:p w14:paraId="24B0819E" w14:textId="77777777" w:rsidR="00062661" w:rsidRPr="00923F4D" w:rsidRDefault="00062661" w:rsidP="00062661">
            <w:pPr>
              <w:pStyle w:val="Bullet1"/>
              <w:numPr>
                <w:ilvl w:val="0"/>
                <w:numId w:val="0"/>
              </w:numPr>
              <w:rPr>
                <w:rFonts w:ascii="Arial" w:hAnsi="Arial" w:cs="Arial"/>
                <w:b/>
                <w:bCs/>
                <w:sz w:val="20"/>
                <w:szCs w:val="20"/>
                <w:lang w:eastAsia="en-AU"/>
              </w:rPr>
            </w:pPr>
            <w:r w:rsidRPr="00923F4D">
              <w:rPr>
                <w:rFonts w:ascii="Arial" w:hAnsi="Arial" w:cs="Arial"/>
                <w:b/>
                <w:bCs/>
                <w:sz w:val="20"/>
                <w:szCs w:val="20"/>
                <w:lang w:eastAsia="en-AU"/>
              </w:rPr>
              <w:t>Exercising</w:t>
            </w:r>
          </w:p>
          <w:p w14:paraId="22694C7D"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3CA812D4"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Communications Testing Checklist</w:t>
            </w:r>
          </w:p>
        </w:tc>
        <w:tc>
          <w:tcPr>
            <w:tcW w:w="4678" w:type="dxa"/>
            <w:shd w:val="clear" w:color="auto" w:fill="EBF3DB"/>
          </w:tcPr>
          <w:p w14:paraId="16E72A6E" w14:textId="4649CD46" w:rsidR="00062661" w:rsidRPr="00B45A0F" w:rsidRDefault="00324E04"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Guidance for testing</w:t>
            </w:r>
            <w:r w:rsidR="00062661" w:rsidRPr="00B45A0F">
              <w:rPr>
                <w:rFonts w:ascii="Arial" w:hAnsi="Arial" w:cs="Arial"/>
                <w:sz w:val="20"/>
                <w:szCs w:val="20"/>
                <w:lang w:eastAsia="en-AU"/>
              </w:rPr>
              <w:t xml:space="preserve"> and validation of emergency communication systems and processes.</w:t>
            </w:r>
          </w:p>
        </w:tc>
      </w:tr>
      <w:tr w:rsidR="00062661" w14:paraId="239B18CA"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48A8FF87"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165FB423"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Exercise Observation and Debrief Template</w:t>
            </w:r>
          </w:p>
        </w:tc>
        <w:tc>
          <w:tcPr>
            <w:tcW w:w="4678" w:type="dxa"/>
            <w:shd w:val="clear" w:color="auto" w:fill="F8FBF3"/>
          </w:tcPr>
          <w:p w14:paraId="708E713D" w14:textId="40A2D675" w:rsidR="00062661" w:rsidRPr="00B45A0F" w:rsidRDefault="00324E04"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C</w:t>
            </w:r>
            <w:r w:rsidR="00062661" w:rsidRPr="00B45A0F">
              <w:rPr>
                <w:rFonts w:ascii="Arial" w:hAnsi="Arial" w:cs="Arial"/>
                <w:sz w:val="20"/>
                <w:szCs w:val="20"/>
                <w:lang w:eastAsia="en-AU"/>
              </w:rPr>
              <w:t xml:space="preserve">apture </w:t>
            </w:r>
            <w:r>
              <w:rPr>
                <w:rFonts w:ascii="Arial" w:hAnsi="Arial" w:cs="Arial"/>
                <w:sz w:val="20"/>
                <w:szCs w:val="20"/>
                <w:lang w:eastAsia="en-AU"/>
              </w:rPr>
              <w:t>o</w:t>
            </w:r>
            <w:r w:rsidR="00062661" w:rsidRPr="00B45A0F">
              <w:rPr>
                <w:rFonts w:ascii="Arial" w:hAnsi="Arial" w:cs="Arial"/>
                <w:sz w:val="20"/>
                <w:szCs w:val="20"/>
                <w:lang w:eastAsia="en-AU"/>
              </w:rPr>
              <w:t>bservations, lessons identified and improvement actions following exercises or incidents.</w:t>
            </w:r>
          </w:p>
        </w:tc>
      </w:tr>
      <w:tr w:rsidR="00062661" w14:paraId="3A3C65CC" w14:textId="77777777" w:rsidTr="005D3A4D">
        <w:tc>
          <w:tcPr>
            <w:tcW w:w="1560" w:type="dxa"/>
            <w:vMerge/>
            <w:shd w:val="clear" w:color="auto" w:fill="CFE09C"/>
          </w:tcPr>
          <w:p w14:paraId="1012B8F4"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EBF3DB"/>
          </w:tcPr>
          <w:p w14:paraId="394E2BA1"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Exercise Planning Template</w:t>
            </w:r>
          </w:p>
        </w:tc>
        <w:tc>
          <w:tcPr>
            <w:tcW w:w="4678" w:type="dxa"/>
            <w:shd w:val="clear" w:color="auto" w:fill="EBF3DB"/>
          </w:tcPr>
          <w:p w14:paraId="06EC81CE" w14:textId="6B4D68C1" w:rsidR="00062661" w:rsidRPr="00B45A0F" w:rsidRDefault="005A7BD3"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Plan</w:t>
            </w:r>
            <w:r w:rsidR="00062661" w:rsidRPr="00B45A0F">
              <w:rPr>
                <w:rFonts w:ascii="Arial" w:hAnsi="Arial" w:cs="Arial"/>
                <w:sz w:val="20"/>
                <w:szCs w:val="20"/>
                <w:lang w:eastAsia="en-AU"/>
              </w:rPr>
              <w:t xml:space="preserve"> emergency exercises and scenario activities.</w:t>
            </w:r>
          </w:p>
        </w:tc>
      </w:tr>
      <w:tr w:rsidR="00062661" w14:paraId="44A98726"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shd w:val="clear" w:color="auto" w:fill="CFE09C"/>
          </w:tcPr>
          <w:p w14:paraId="3A1A1229" w14:textId="77777777" w:rsidR="00062661" w:rsidRPr="00923F4D" w:rsidRDefault="00062661" w:rsidP="00062661">
            <w:pPr>
              <w:pStyle w:val="Bullet1"/>
              <w:numPr>
                <w:ilvl w:val="0"/>
                <w:numId w:val="0"/>
              </w:numPr>
              <w:rPr>
                <w:rFonts w:ascii="Arial" w:hAnsi="Arial" w:cs="Arial"/>
                <w:b/>
                <w:bCs/>
                <w:sz w:val="20"/>
                <w:szCs w:val="20"/>
                <w:lang w:eastAsia="en-AU"/>
              </w:rPr>
            </w:pPr>
          </w:p>
        </w:tc>
        <w:tc>
          <w:tcPr>
            <w:tcW w:w="3804" w:type="dxa"/>
            <w:shd w:val="clear" w:color="auto" w:fill="F8FBF3"/>
          </w:tcPr>
          <w:p w14:paraId="15377A93"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Emergency Exercise Scheduling Guidance</w:t>
            </w:r>
          </w:p>
        </w:tc>
        <w:tc>
          <w:tcPr>
            <w:tcW w:w="4678" w:type="dxa"/>
            <w:shd w:val="clear" w:color="auto" w:fill="F8FBF3"/>
          </w:tcPr>
          <w:p w14:paraId="0C661E6A" w14:textId="5CC8BA66" w:rsidR="00062661" w:rsidRPr="00B45A0F" w:rsidRDefault="005A7BD3"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Develop and schedule</w:t>
            </w:r>
            <w:r w:rsidR="00062661" w:rsidRPr="00B45A0F">
              <w:rPr>
                <w:rFonts w:ascii="Arial" w:hAnsi="Arial" w:cs="Arial"/>
                <w:sz w:val="20"/>
                <w:szCs w:val="20"/>
                <w:lang w:eastAsia="en-AU"/>
              </w:rPr>
              <w:t xml:space="preserve"> exercising activities across preparedness programs.</w:t>
            </w:r>
          </w:p>
        </w:tc>
      </w:tr>
      <w:tr w:rsidR="00062661" w14:paraId="58B2457C" w14:textId="77777777" w:rsidTr="005D3A4D">
        <w:tc>
          <w:tcPr>
            <w:tcW w:w="1560" w:type="dxa"/>
            <w:shd w:val="clear" w:color="auto" w:fill="CFE09C"/>
          </w:tcPr>
          <w:p w14:paraId="36B290F3" w14:textId="77777777" w:rsidR="00062661" w:rsidRPr="00923F4D" w:rsidRDefault="00062661" w:rsidP="00062661">
            <w:pPr>
              <w:pStyle w:val="Bullet1"/>
              <w:numPr>
                <w:ilvl w:val="0"/>
                <w:numId w:val="0"/>
              </w:numPr>
              <w:rPr>
                <w:rFonts w:ascii="Arial" w:hAnsi="Arial" w:cs="Arial"/>
                <w:b/>
                <w:bCs/>
                <w:sz w:val="20"/>
                <w:szCs w:val="20"/>
                <w:lang w:eastAsia="en-AU"/>
              </w:rPr>
            </w:pPr>
            <w:r w:rsidRPr="00923F4D">
              <w:rPr>
                <w:rFonts w:ascii="Arial" w:hAnsi="Arial" w:cs="Arial"/>
                <w:b/>
                <w:bCs/>
                <w:sz w:val="20"/>
                <w:szCs w:val="20"/>
                <w:lang w:eastAsia="en-AU"/>
              </w:rPr>
              <w:t>Training</w:t>
            </w:r>
          </w:p>
        </w:tc>
        <w:tc>
          <w:tcPr>
            <w:tcW w:w="3804" w:type="dxa"/>
            <w:shd w:val="clear" w:color="auto" w:fill="EBF3DB"/>
          </w:tcPr>
          <w:p w14:paraId="7B6F9370" w14:textId="77777777" w:rsidR="00062661" w:rsidRPr="00B45A0F" w:rsidRDefault="00062661" w:rsidP="00062661">
            <w:pPr>
              <w:pStyle w:val="Bullet1"/>
              <w:numPr>
                <w:ilvl w:val="0"/>
                <w:numId w:val="0"/>
              </w:numPr>
              <w:rPr>
                <w:rFonts w:ascii="Arial" w:hAnsi="Arial" w:cs="Arial"/>
                <w:sz w:val="20"/>
                <w:szCs w:val="20"/>
                <w:lang w:eastAsia="en-AU"/>
              </w:rPr>
            </w:pPr>
            <w:r w:rsidRPr="00B45A0F">
              <w:rPr>
                <w:rFonts w:ascii="Arial" w:hAnsi="Arial" w:cs="Arial"/>
                <w:sz w:val="20"/>
                <w:szCs w:val="20"/>
                <w:lang w:eastAsia="en-AU"/>
              </w:rPr>
              <w:t>Tenant and Contractor Emergency Awareness and Engagement Guide</w:t>
            </w:r>
          </w:p>
        </w:tc>
        <w:tc>
          <w:tcPr>
            <w:tcW w:w="4678" w:type="dxa"/>
            <w:shd w:val="clear" w:color="auto" w:fill="EBF3DB"/>
          </w:tcPr>
          <w:p w14:paraId="027835BD" w14:textId="0DCBA1D4" w:rsidR="00062661" w:rsidRPr="00B45A0F" w:rsidRDefault="005B2EBA"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Plan</w:t>
            </w:r>
            <w:r w:rsidR="00062661" w:rsidRPr="00B45A0F">
              <w:rPr>
                <w:rFonts w:ascii="Arial" w:hAnsi="Arial" w:cs="Arial"/>
                <w:sz w:val="20"/>
                <w:szCs w:val="20"/>
                <w:lang w:eastAsia="en-AU"/>
              </w:rPr>
              <w:t xml:space="preserve"> emergency awareness, engagement and preparedness activities for tenants and contractors.</w:t>
            </w:r>
          </w:p>
        </w:tc>
      </w:tr>
      <w:tr w:rsidR="00062661" w14:paraId="5F29F2B7" w14:textId="77777777" w:rsidTr="005D3A4D">
        <w:trPr>
          <w:cnfStyle w:val="000000010000" w:firstRow="0" w:lastRow="0" w:firstColumn="0" w:lastColumn="0" w:oddVBand="0" w:evenVBand="0" w:oddHBand="0" w:evenHBand="1" w:firstRowFirstColumn="0" w:firstRowLastColumn="0" w:lastRowFirstColumn="0" w:lastRowLastColumn="0"/>
        </w:trPr>
        <w:tc>
          <w:tcPr>
            <w:tcW w:w="1560" w:type="dxa"/>
            <w:vMerge w:val="restart"/>
            <w:shd w:val="clear" w:color="auto" w:fill="CFE09C"/>
          </w:tcPr>
          <w:p w14:paraId="4A209E3C" w14:textId="77777777" w:rsidR="00062661" w:rsidRPr="00923F4D" w:rsidRDefault="00062661" w:rsidP="00062661">
            <w:pPr>
              <w:pStyle w:val="Bullet1"/>
              <w:numPr>
                <w:ilvl w:val="0"/>
                <w:numId w:val="0"/>
              </w:numPr>
              <w:tabs>
                <w:tab w:val="left" w:pos="1340"/>
              </w:tabs>
              <w:rPr>
                <w:rFonts w:ascii="Arial" w:hAnsi="Arial" w:cs="Arial"/>
                <w:b/>
                <w:bCs/>
                <w:sz w:val="20"/>
                <w:szCs w:val="20"/>
                <w:lang w:eastAsia="en-AU"/>
              </w:rPr>
            </w:pPr>
          </w:p>
          <w:p w14:paraId="60633BC3" w14:textId="77777777" w:rsidR="00062661" w:rsidRPr="00923F4D" w:rsidRDefault="00062661" w:rsidP="00062661">
            <w:pPr>
              <w:pStyle w:val="Bullet1"/>
              <w:numPr>
                <w:ilvl w:val="0"/>
                <w:numId w:val="0"/>
              </w:numPr>
              <w:tabs>
                <w:tab w:val="left" w:pos="1340"/>
              </w:tabs>
              <w:rPr>
                <w:rFonts w:ascii="Arial" w:hAnsi="Arial" w:cs="Arial"/>
                <w:b/>
                <w:bCs/>
                <w:sz w:val="20"/>
                <w:szCs w:val="20"/>
                <w:lang w:eastAsia="en-AU"/>
              </w:rPr>
            </w:pPr>
            <w:r w:rsidRPr="00923F4D">
              <w:rPr>
                <w:rFonts w:ascii="Arial" w:hAnsi="Arial" w:cs="Arial"/>
                <w:b/>
                <w:bCs/>
                <w:sz w:val="20"/>
                <w:szCs w:val="20"/>
                <w:lang w:eastAsia="en-AU"/>
              </w:rPr>
              <w:t xml:space="preserve">Continuous Improvement </w:t>
            </w:r>
          </w:p>
        </w:tc>
        <w:tc>
          <w:tcPr>
            <w:tcW w:w="3804" w:type="dxa"/>
            <w:shd w:val="clear" w:color="auto" w:fill="F8FBF3"/>
          </w:tcPr>
          <w:p w14:paraId="59F88B1E" w14:textId="77777777" w:rsidR="00062661" w:rsidRPr="00B45A0F" w:rsidRDefault="00062661" w:rsidP="00062661">
            <w:pPr>
              <w:pStyle w:val="Bullet1"/>
              <w:numPr>
                <w:ilvl w:val="0"/>
                <w:numId w:val="0"/>
              </w:numPr>
              <w:tabs>
                <w:tab w:val="left" w:pos="1340"/>
              </w:tabs>
              <w:rPr>
                <w:rFonts w:ascii="Arial" w:hAnsi="Arial" w:cs="Arial"/>
                <w:sz w:val="20"/>
                <w:szCs w:val="20"/>
                <w:lang w:eastAsia="en-AU"/>
              </w:rPr>
            </w:pPr>
            <w:r w:rsidRPr="00B45A0F">
              <w:rPr>
                <w:rFonts w:ascii="Arial" w:hAnsi="Arial" w:cs="Arial"/>
                <w:sz w:val="20"/>
                <w:szCs w:val="20"/>
                <w:lang w:eastAsia="en-AU"/>
              </w:rPr>
              <w:t>Incident Action Log</w:t>
            </w:r>
          </w:p>
        </w:tc>
        <w:tc>
          <w:tcPr>
            <w:tcW w:w="4678" w:type="dxa"/>
            <w:shd w:val="clear" w:color="auto" w:fill="F8FBF3"/>
          </w:tcPr>
          <w:p w14:paraId="2EFDF197" w14:textId="387C1734" w:rsidR="00062661" w:rsidRPr="00B45A0F" w:rsidRDefault="005B2EBA"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Record</w:t>
            </w:r>
            <w:r w:rsidR="00062661" w:rsidRPr="00B45A0F">
              <w:rPr>
                <w:rFonts w:ascii="Arial" w:hAnsi="Arial" w:cs="Arial"/>
                <w:sz w:val="20"/>
                <w:szCs w:val="20"/>
                <w:lang w:eastAsia="en-AU"/>
              </w:rPr>
              <w:t xml:space="preserve"> key actions, decisions and operational activities during incidents.</w:t>
            </w:r>
          </w:p>
        </w:tc>
      </w:tr>
      <w:tr w:rsidR="00062661" w14:paraId="7A11A5B2" w14:textId="77777777" w:rsidTr="005D3A4D">
        <w:tc>
          <w:tcPr>
            <w:tcW w:w="1560" w:type="dxa"/>
            <w:vMerge/>
            <w:shd w:val="clear" w:color="auto" w:fill="CFE09C"/>
          </w:tcPr>
          <w:p w14:paraId="67512D8C" w14:textId="77777777" w:rsidR="00062661" w:rsidRPr="00B45A0F" w:rsidRDefault="00062661" w:rsidP="00062661">
            <w:pPr>
              <w:pStyle w:val="Bullet1"/>
              <w:numPr>
                <w:ilvl w:val="0"/>
                <w:numId w:val="0"/>
              </w:numPr>
              <w:tabs>
                <w:tab w:val="left" w:pos="1340"/>
              </w:tabs>
              <w:rPr>
                <w:rFonts w:ascii="Arial" w:hAnsi="Arial" w:cs="Arial"/>
                <w:sz w:val="20"/>
                <w:szCs w:val="20"/>
                <w:lang w:eastAsia="en-AU"/>
              </w:rPr>
            </w:pPr>
          </w:p>
        </w:tc>
        <w:tc>
          <w:tcPr>
            <w:tcW w:w="3804" w:type="dxa"/>
            <w:shd w:val="clear" w:color="auto" w:fill="EBF3DB"/>
          </w:tcPr>
          <w:p w14:paraId="304D303F" w14:textId="77777777" w:rsidR="00062661" w:rsidRPr="00B45A0F" w:rsidRDefault="00062661" w:rsidP="00062661">
            <w:pPr>
              <w:pStyle w:val="Bullet1"/>
              <w:numPr>
                <w:ilvl w:val="0"/>
                <w:numId w:val="0"/>
              </w:numPr>
              <w:tabs>
                <w:tab w:val="left" w:pos="1340"/>
              </w:tabs>
              <w:rPr>
                <w:rFonts w:ascii="Arial" w:hAnsi="Arial" w:cs="Arial"/>
                <w:sz w:val="20"/>
                <w:szCs w:val="20"/>
                <w:lang w:eastAsia="en-AU"/>
              </w:rPr>
            </w:pPr>
            <w:r w:rsidRPr="00B45A0F">
              <w:rPr>
                <w:rFonts w:ascii="Arial" w:hAnsi="Arial" w:cs="Arial"/>
                <w:sz w:val="20"/>
                <w:szCs w:val="20"/>
                <w:lang w:eastAsia="en-AU"/>
              </w:rPr>
              <w:t>Lessons Identified and Actions Register</w:t>
            </w:r>
          </w:p>
        </w:tc>
        <w:tc>
          <w:tcPr>
            <w:tcW w:w="4678" w:type="dxa"/>
            <w:shd w:val="clear" w:color="auto" w:fill="EBF3DB"/>
          </w:tcPr>
          <w:p w14:paraId="1C40B94E" w14:textId="797BA48F" w:rsidR="00062661" w:rsidRPr="00B45A0F" w:rsidRDefault="00021842" w:rsidP="00062661">
            <w:pPr>
              <w:pStyle w:val="Bullet1"/>
              <w:numPr>
                <w:ilvl w:val="0"/>
                <w:numId w:val="0"/>
              </w:numPr>
              <w:rPr>
                <w:rFonts w:ascii="Arial" w:hAnsi="Arial" w:cs="Arial"/>
                <w:sz w:val="20"/>
                <w:szCs w:val="20"/>
                <w:lang w:eastAsia="en-AU"/>
              </w:rPr>
            </w:pPr>
            <w:r>
              <w:rPr>
                <w:rFonts w:ascii="Arial" w:hAnsi="Arial" w:cs="Arial"/>
                <w:sz w:val="20"/>
                <w:szCs w:val="20"/>
                <w:lang w:eastAsia="en-AU"/>
              </w:rPr>
              <w:t>Track</w:t>
            </w:r>
            <w:r w:rsidR="00062661" w:rsidRPr="00B45A0F">
              <w:rPr>
                <w:rFonts w:ascii="Arial" w:hAnsi="Arial" w:cs="Arial"/>
                <w:sz w:val="20"/>
                <w:szCs w:val="20"/>
                <w:lang w:eastAsia="en-AU"/>
              </w:rPr>
              <w:t xml:space="preserve"> lessons identified, corrective actions and preparedness improvements</w:t>
            </w:r>
            <w:r>
              <w:rPr>
                <w:rFonts w:ascii="Arial" w:hAnsi="Arial" w:cs="Arial"/>
                <w:sz w:val="20"/>
                <w:szCs w:val="20"/>
                <w:lang w:eastAsia="en-AU"/>
              </w:rPr>
              <w:t xml:space="preserve"> so they become lessons learned</w:t>
            </w:r>
            <w:r w:rsidR="00062661" w:rsidRPr="00B45A0F">
              <w:rPr>
                <w:rFonts w:ascii="Arial" w:hAnsi="Arial" w:cs="Arial"/>
                <w:sz w:val="20"/>
                <w:szCs w:val="20"/>
                <w:lang w:eastAsia="en-AU"/>
              </w:rPr>
              <w:t>.</w:t>
            </w:r>
          </w:p>
        </w:tc>
      </w:tr>
    </w:tbl>
    <w:p w14:paraId="0552EFA0" w14:textId="77777777" w:rsidR="00B925ED" w:rsidRDefault="00B925ED" w:rsidP="00FF1BB6">
      <w:pPr>
        <w:rPr>
          <w:noProof/>
        </w:rPr>
      </w:pPr>
    </w:p>
    <w:p w14:paraId="5981054F" w14:textId="77777777" w:rsidR="007B44D4" w:rsidRDefault="007B44D4" w:rsidP="00FF1BB6">
      <w:pPr>
        <w:rPr>
          <w:rFonts w:ascii="Arial" w:hAnsi="Arial" w:cs="Arial"/>
          <w:b/>
          <w:bCs/>
          <w:sz w:val="20"/>
          <w:szCs w:val="20"/>
          <w:lang w:val="en-AU"/>
        </w:rPr>
      </w:pPr>
    </w:p>
    <w:p w14:paraId="60EF2904" w14:textId="77777777" w:rsidR="007B44D4" w:rsidRDefault="007B44D4" w:rsidP="00FF1BB6">
      <w:pPr>
        <w:rPr>
          <w:rFonts w:ascii="Arial" w:hAnsi="Arial" w:cs="Arial"/>
          <w:b/>
          <w:bCs/>
          <w:sz w:val="20"/>
          <w:szCs w:val="20"/>
          <w:lang w:val="en-AU"/>
        </w:rPr>
      </w:pPr>
    </w:p>
    <w:p w14:paraId="0B9155F7" w14:textId="424C73BF" w:rsidR="00FF1BB6" w:rsidRPr="0099053C" w:rsidRDefault="007B44D4" w:rsidP="00FF1BB6">
      <w:pPr>
        <w:rPr>
          <w:rFonts w:ascii="Arial" w:hAnsi="Arial" w:cs="Arial"/>
          <w:b/>
          <w:bCs/>
          <w:sz w:val="20"/>
          <w:szCs w:val="20"/>
          <w:lang w:val="en-AU"/>
        </w:rPr>
      </w:pPr>
      <w:r w:rsidRPr="00B925ED">
        <w:rPr>
          <w:rFonts w:ascii="Arial" w:hAnsi="Arial" w:cs="Arial"/>
          <w:noProof/>
          <w:sz w:val="20"/>
          <w:szCs w:val="20"/>
          <w:lang w:val="en-AU"/>
        </w:rPr>
        <w:lastRenderedPageBreak/>
        <mc:AlternateContent>
          <mc:Choice Requires="wps">
            <w:drawing>
              <wp:anchor distT="45720" distB="45720" distL="114300" distR="114300" simplePos="0" relativeHeight="251665415" behindDoc="1" locked="0" layoutInCell="1" allowOverlap="1" wp14:anchorId="0A0146C0" wp14:editId="6F8C23EA">
                <wp:simplePos x="0" y="0"/>
                <wp:positionH relativeFrom="margin">
                  <wp:posOffset>-219075</wp:posOffset>
                </wp:positionH>
                <wp:positionV relativeFrom="paragraph">
                  <wp:posOffset>2224405</wp:posOffset>
                </wp:positionV>
                <wp:extent cx="6304915" cy="1495425"/>
                <wp:effectExtent l="19050" t="19050" r="19685" b="28575"/>
                <wp:wrapTight wrapText="bothSides">
                  <wp:wrapPolygon edited="0">
                    <wp:start x="-65" y="-275"/>
                    <wp:lineTo x="-65" y="21738"/>
                    <wp:lineTo x="21602" y="21738"/>
                    <wp:lineTo x="21602" y="-275"/>
                    <wp:lineTo x="-65" y="-275"/>
                  </wp:wrapPolygon>
                </wp:wrapTight>
                <wp:docPr id="2666957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1495425"/>
                        </a:xfrm>
                        <a:prstGeom prst="rect">
                          <a:avLst/>
                        </a:prstGeom>
                        <a:noFill/>
                        <a:ln w="28575">
                          <a:solidFill>
                            <a:srgbClr val="96C122"/>
                          </a:solidFill>
                          <a:miter lim="800000"/>
                          <a:headEnd/>
                          <a:tailEnd/>
                        </a:ln>
                      </wps:spPr>
                      <wps:txbx>
                        <w:txbxContent>
                          <w:p w14:paraId="52056D7F" w14:textId="33AB8896" w:rsidR="007B44D4" w:rsidRPr="00CA0268" w:rsidRDefault="00CD1714" w:rsidP="007B44D4">
                            <w:pPr>
                              <w:spacing w:after="0"/>
                              <w:rPr>
                                <w:rFonts w:ascii="Arial" w:hAnsi="Arial" w:cs="Arial"/>
                                <w:b/>
                                <w:bCs/>
                                <w:sz w:val="20"/>
                                <w:szCs w:val="20"/>
                                <w:lang w:val="en-AU"/>
                              </w:rPr>
                            </w:pPr>
                            <w:r>
                              <w:rPr>
                                <w:rFonts w:ascii="Arial" w:hAnsi="Arial" w:cs="Arial"/>
                                <w:b/>
                                <w:bCs/>
                                <w:sz w:val="20"/>
                                <w:szCs w:val="20"/>
                                <w:lang w:val="en-AU"/>
                              </w:rPr>
                              <w:t xml:space="preserve">What </w:t>
                            </w:r>
                            <w:r w:rsidRPr="00CD1714">
                              <w:rPr>
                                <w:rFonts w:ascii="Arial" w:hAnsi="Arial" w:cs="Arial"/>
                                <w:b/>
                                <w:bCs/>
                                <w:sz w:val="20"/>
                                <w:szCs w:val="20"/>
                                <w:u w:val="single"/>
                                <w:lang w:val="en-AU"/>
                              </w:rPr>
                              <w:t>Not</w:t>
                            </w:r>
                            <w:r>
                              <w:rPr>
                                <w:rFonts w:ascii="Arial" w:hAnsi="Arial" w:cs="Arial"/>
                                <w:b/>
                                <w:bCs/>
                                <w:sz w:val="20"/>
                                <w:szCs w:val="20"/>
                                <w:lang w:val="en-AU"/>
                              </w:rPr>
                              <w:t xml:space="preserve"> to Do</w:t>
                            </w:r>
                          </w:p>
                          <w:p w14:paraId="183E337E" w14:textId="77777777" w:rsidR="00CF0BE2" w:rsidRDefault="00CF0BE2" w:rsidP="00CF0BE2">
                            <w:pPr>
                              <w:pStyle w:val="ListParagraph"/>
                              <w:numPr>
                                <w:ilvl w:val="0"/>
                                <w:numId w:val="23"/>
                              </w:numPr>
                              <w:rPr>
                                <w:rFonts w:ascii="Arial" w:hAnsi="Arial" w:cs="Arial"/>
                                <w:sz w:val="20"/>
                                <w:szCs w:val="20"/>
                              </w:rPr>
                            </w:pPr>
                            <w:r w:rsidRPr="00CB2DEF">
                              <w:rPr>
                                <w:rFonts w:ascii="Arial" w:hAnsi="Arial" w:cs="Arial"/>
                                <w:sz w:val="20"/>
                                <w:szCs w:val="20"/>
                              </w:rPr>
                              <w:t>Do not try to complete every template. The toolkit is designed to be flexible</w:t>
                            </w:r>
                            <w:r>
                              <w:rPr>
                                <w:rFonts w:ascii="Arial" w:hAnsi="Arial" w:cs="Arial"/>
                                <w:sz w:val="20"/>
                                <w:szCs w:val="20"/>
                              </w:rPr>
                              <w:t>.</w:t>
                            </w:r>
                            <w:r w:rsidRPr="00CB2DEF">
                              <w:rPr>
                                <w:rFonts w:ascii="Arial" w:hAnsi="Arial" w:cs="Arial"/>
                                <w:sz w:val="20"/>
                                <w:szCs w:val="20"/>
                              </w:rPr>
                              <w:t xml:space="preserve"> </w:t>
                            </w:r>
                            <w:r>
                              <w:rPr>
                                <w:rFonts w:ascii="Arial" w:hAnsi="Arial" w:cs="Arial"/>
                                <w:sz w:val="20"/>
                                <w:szCs w:val="20"/>
                              </w:rPr>
                              <w:t>S</w:t>
                            </w:r>
                            <w:r w:rsidRPr="00CB2DEF">
                              <w:rPr>
                                <w:rFonts w:ascii="Arial" w:hAnsi="Arial" w:cs="Arial"/>
                                <w:sz w:val="20"/>
                                <w:szCs w:val="20"/>
                              </w:rPr>
                              <w:t>elect and use only the tools that are relevant to your site and priorities.</w:t>
                            </w:r>
                          </w:p>
                          <w:p w14:paraId="254A1F79" w14:textId="77777777" w:rsidR="00CF0BE2" w:rsidRPr="005F2DAB"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duplicate existing plans, systems or records.</w:t>
                            </w:r>
                          </w:p>
                          <w:p w14:paraId="27A62F5D" w14:textId="77777777" w:rsidR="00CF0BE2" w:rsidRPr="005F2DAB"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create documentation that has no practical use.</w:t>
                            </w:r>
                          </w:p>
                          <w:p w14:paraId="2D73C46C" w14:textId="77777777" w:rsidR="00CF0BE2" w:rsidRPr="00BD43A8"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treat the CBD Emergency Management Toolkit as a separate project from normal operations.</w:t>
                            </w:r>
                          </w:p>
                          <w:p w14:paraId="6D024DD1" w14:textId="77777777" w:rsidR="007B44D4" w:rsidRDefault="007B44D4" w:rsidP="007B44D4">
                            <w:pPr>
                              <w:spacing w:after="0"/>
                              <w:rPr>
                                <w:rFonts w:ascii="Arial" w:hAnsi="Arial" w:cs="Arial"/>
                                <w:sz w:val="20"/>
                                <w:szCs w:val="20"/>
                                <w:lang w:val="en-AU"/>
                              </w:rPr>
                            </w:pPr>
                          </w:p>
                          <w:p w14:paraId="47E5A66E" w14:textId="77777777" w:rsidR="007B44D4" w:rsidRPr="00C153FF" w:rsidRDefault="007B44D4" w:rsidP="007B44D4">
                            <w:pPr>
                              <w:spacing w:after="0"/>
                              <w:rPr>
                                <w:rFonts w:ascii="Arial" w:hAnsi="Arial" w:cs="Arial"/>
                                <w:sz w:val="20"/>
                                <w:szCs w:val="20"/>
                                <w:lang w:val="en-AU"/>
                              </w:rPr>
                            </w:pPr>
                          </w:p>
                          <w:p w14:paraId="502E9CD5" w14:textId="77777777" w:rsidR="007B44D4" w:rsidRDefault="007B44D4" w:rsidP="007B44D4">
                            <w:pPr>
                              <w:spacing w:after="0"/>
                              <w:rPr>
                                <w:rFonts w:ascii="Arial" w:hAnsi="Arial" w:cs="Arial"/>
                                <w:sz w:val="20"/>
                                <w:szCs w:val="20"/>
                                <w:lang w:val="en-AU"/>
                              </w:rPr>
                            </w:pPr>
                          </w:p>
                          <w:p w14:paraId="27436D2C" w14:textId="77777777" w:rsidR="007B44D4" w:rsidRDefault="007B44D4" w:rsidP="007B44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0146C0" id="_x0000_s1030" type="#_x0000_t202" style="position:absolute;margin-left:-17.25pt;margin-top:175.15pt;width:496.45pt;height:117.75pt;z-index:-25165106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" filled="f" strokecolor="#96c122" strokeweight="2.25pt">
                <v:textbox>
                  <w:txbxContent>
                    <w:p w14:paraId="52056D7F" w14:textId="33AB8896" w:rsidR="007B44D4" w:rsidRPr="00CA0268" w:rsidRDefault="00CD1714" w:rsidP="007B44D4">
                      <w:pPr>
                        <w:spacing w:after="0"/>
                        <w:rPr>
                          <w:rFonts w:ascii="Arial" w:hAnsi="Arial" w:cs="Arial"/>
                          <w:b/>
                          <w:bCs/>
                          <w:sz w:val="20"/>
                          <w:szCs w:val="20"/>
                          <w:lang w:val="en-AU"/>
                        </w:rPr>
                      </w:pPr>
                      <w:r>
                        <w:rPr>
                          <w:rFonts w:ascii="Arial" w:hAnsi="Arial" w:cs="Arial"/>
                          <w:b/>
                          <w:bCs/>
                          <w:sz w:val="20"/>
                          <w:szCs w:val="20"/>
                          <w:lang w:val="en-AU"/>
                        </w:rPr>
                        <w:t xml:space="preserve">What </w:t>
                      </w:r>
                      <w:r w:rsidRPr="00CD1714">
                        <w:rPr>
                          <w:rFonts w:ascii="Arial" w:hAnsi="Arial" w:cs="Arial"/>
                          <w:b/>
                          <w:bCs/>
                          <w:sz w:val="20"/>
                          <w:szCs w:val="20"/>
                          <w:u w:val="single"/>
                          <w:lang w:val="en-AU"/>
                        </w:rPr>
                        <w:t>Not</w:t>
                      </w:r>
                      <w:r>
                        <w:rPr>
                          <w:rFonts w:ascii="Arial" w:hAnsi="Arial" w:cs="Arial"/>
                          <w:b/>
                          <w:bCs/>
                          <w:sz w:val="20"/>
                          <w:szCs w:val="20"/>
                          <w:lang w:val="en-AU"/>
                        </w:rPr>
                        <w:t xml:space="preserve"> to Do</w:t>
                      </w:r>
                    </w:p>
                    <w:p w14:paraId="183E337E" w14:textId="77777777" w:rsidR="00CF0BE2" w:rsidRDefault="00CF0BE2" w:rsidP="00CF0BE2">
                      <w:pPr>
                        <w:pStyle w:val="ListParagraph"/>
                        <w:numPr>
                          <w:ilvl w:val="0"/>
                          <w:numId w:val="23"/>
                        </w:numPr>
                        <w:rPr>
                          <w:rFonts w:ascii="Arial" w:hAnsi="Arial" w:cs="Arial"/>
                          <w:sz w:val="20"/>
                          <w:szCs w:val="20"/>
                        </w:rPr>
                      </w:pPr>
                      <w:r w:rsidRPr="00CB2DEF">
                        <w:rPr>
                          <w:rFonts w:ascii="Arial" w:hAnsi="Arial" w:cs="Arial"/>
                          <w:sz w:val="20"/>
                          <w:szCs w:val="20"/>
                        </w:rPr>
                        <w:t>Do not try to complete every template. The toolkit is designed to be flexible</w:t>
                      </w:r>
                      <w:r>
                        <w:rPr>
                          <w:rFonts w:ascii="Arial" w:hAnsi="Arial" w:cs="Arial"/>
                          <w:sz w:val="20"/>
                          <w:szCs w:val="20"/>
                        </w:rPr>
                        <w:t>.</w:t>
                      </w:r>
                      <w:r w:rsidRPr="00CB2DEF">
                        <w:rPr>
                          <w:rFonts w:ascii="Arial" w:hAnsi="Arial" w:cs="Arial"/>
                          <w:sz w:val="20"/>
                          <w:szCs w:val="20"/>
                        </w:rPr>
                        <w:t xml:space="preserve"> </w:t>
                      </w:r>
                      <w:r>
                        <w:rPr>
                          <w:rFonts w:ascii="Arial" w:hAnsi="Arial" w:cs="Arial"/>
                          <w:sz w:val="20"/>
                          <w:szCs w:val="20"/>
                        </w:rPr>
                        <w:t>S</w:t>
                      </w:r>
                      <w:r w:rsidRPr="00CB2DEF">
                        <w:rPr>
                          <w:rFonts w:ascii="Arial" w:hAnsi="Arial" w:cs="Arial"/>
                          <w:sz w:val="20"/>
                          <w:szCs w:val="20"/>
                        </w:rPr>
                        <w:t>elect and use only the tools that are relevant to your site and priorities.</w:t>
                      </w:r>
                    </w:p>
                    <w:p w14:paraId="254A1F79" w14:textId="77777777" w:rsidR="00CF0BE2" w:rsidRPr="005F2DAB"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duplicate existing plans, systems or records.</w:t>
                      </w:r>
                    </w:p>
                    <w:p w14:paraId="27A62F5D" w14:textId="77777777" w:rsidR="00CF0BE2" w:rsidRPr="005F2DAB"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create documentation that has no practical use.</w:t>
                      </w:r>
                    </w:p>
                    <w:p w14:paraId="2D73C46C" w14:textId="77777777" w:rsidR="00CF0BE2" w:rsidRPr="00BD43A8" w:rsidRDefault="00CF0BE2" w:rsidP="00CF0BE2">
                      <w:pPr>
                        <w:pStyle w:val="ListParagraph"/>
                        <w:numPr>
                          <w:ilvl w:val="0"/>
                          <w:numId w:val="23"/>
                        </w:numPr>
                        <w:rPr>
                          <w:rFonts w:ascii="Arial" w:hAnsi="Arial" w:cs="Arial"/>
                          <w:sz w:val="20"/>
                          <w:szCs w:val="20"/>
                        </w:rPr>
                      </w:pPr>
                      <w:r w:rsidRPr="005F2DAB">
                        <w:rPr>
                          <w:rFonts w:ascii="Arial" w:hAnsi="Arial" w:cs="Arial"/>
                          <w:sz w:val="20"/>
                          <w:szCs w:val="20"/>
                        </w:rPr>
                        <w:t>Do not treat the CBD Emergency Management Toolkit as a separate project from normal operations.</w:t>
                      </w:r>
                    </w:p>
                    <w:p w14:paraId="6D024DD1" w14:textId="77777777" w:rsidR="007B44D4" w:rsidRDefault="007B44D4" w:rsidP="007B44D4">
                      <w:pPr>
                        <w:spacing w:after="0"/>
                        <w:rPr>
                          <w:rFonts w:ascii="Arial" w:hAnsi="Arial" w:cs="Arial"/>
                          <w:sz w:val="20"/>
                          <w:szCs w:val="20"/>
                          <w:lang w:val="en-AU"/>
                        </w:rPr>
                      </w:pPr>
                    </w:p>
                    <w:p w14:paraId="47E5A66E" w14:textId="77777777" w:rsidR="007B44D4" w:rsidRPr="00C153FF" w:rsidRDefault="007B44D4" w:rsidP="007B44D4">
                      <w:pPr>
                        <w:spacing w:after="0"/>
                        <w:rPr>
                          <w:rFonts w:ascii="Arial" w:hAnsi="Arial" w:cs="Arial"/>
                          <w:sz w:val="20"/>
                          <w:szCs w:val="20"/>
                          <w:lang w:val="en-AU"/>
                        </w:rPr>
                      </w:pPr>
                    </w:p>
                    <w:p w14:paraId="502E9CD5" w14:textId="77777777" w:rsidR="007B44D4" w:rsidRDefault="007B44D4" w:rsidP="007B44D4">
                      <w:pPr>
                        <w:spacing w:after="0"/>
                        <w:rPr>
                          <w:rFonts w:ascii="Arial" w:hAnsi="Arial" w:cs="Arial"/>
                          <w:sz w:val="20"/>
                          <w:szCs w:val="20"/>
                          <w:lang w:val="en-AU"/>
                        </w:rPr>
                      </w:pPr>
                    </w:p>
                    <w:p w14:paraId="27436D2C" w14:textId="77777777" w:rsidR="007B44D4" w:rsidRDefault="007B44D4" w:rsidP="007B44D4"/>
                  </w:txbxContent>
                </v:textbox>
                <w10:wrap type="tight" anchorx="margin"/>
              </v:shape>
            </w:pict>
          </mc:Fallback>
        </mc:AlternateContent>
      </w:r>
      <w:r w:rsidR="00511B27" w:rsidRPr="00511B27">
        <w:rPr>
          <w:rFonts w:ascii="Arial" w:eastAsia="Times New Roman" w:hAnsi="Arial" w:cs="Arial"/>
          <w:noProof/>
          <w:kern w:val="2"/>
          <w:sz w:val="20"/>
          <w:szCs w:val="20"/>
          <w:lang w:val="en-AU" w:eastAsia="en-AU"/>
          <w14:ligatures w14:val="standardContextual"/>
        </w:rPr>
        <mc:AlternateContent>
          <mc:Choice Requires="wps">
            <w:drawing>
              <wp:anchor distT="45720" distB="45720" distL="114300" distR="114300" simplePos="0" relativeHeight="251661319" behindDoc="0" locked="0" layoutInCell="1" allowOverlap="1" wp14:anchorId="4A02B35C" wp14:editId="01B20596">
                <wp:simplePos x="0" y="0"/>
                <wp:positionH relativeFrom="margin">
                  <wp:align>center</wp:align>
                </wp:positionH>
                <wp:positionV relativeFrom="paragraph">
                  <wp:posOffset>0</wp:posOffset>
                </wp:positionV>
                <wp:extent cx="6273165" cy="1977390"/>
                <wp:effectExtent l="0" t="0" r="0" b="3810"/>
                <wp:wrapSquare wrapText="bothSides"/>
                <wp:docPr id="12414549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1977390"/>
                        </a:xfrm>
                        <a:prstGeom prst="rect">
                          <a:avLst/>
                        </a:prstGeom>
                        <a:solidFill>
                          <a:srgbClr val="EBF3DB"/>
                        </a:solidFill>
                        <a:ln w="9525">
                          <a:noFill/>
                          <a:miter lim="800000"/>
                          <a:headEnd/>
                          <a:tailEnd/>
                        </a:ln>
                      </wps:spPr>
                      <wps:txbx>
                        <w:txbxContent>
                          <w:p w14:paraId="564675E6" w14:textId="3E5C3623" w:rsidR="00511B27" w:rsidRPr="009D530E" w:rsidRDefault="00511B27" w:rsidP="00511B27">
                            <w:pPr>
                              <w:shd w:val="clear" w:color="auto" w:fill="EBF3DB"/>
                              <w:spacing w:after="0"/>
                              <w:rPr>
                                <w:rFonts w:ascii="Arial" w:hAnsi="Arial" w:cs="Arial"/>
                                <w:b/>
                                <w:bCs/>
                                <w:sz w:val="20"/>
                                <w:szCs w:val="20"/>
                                <w:lang w:val="en-AU"/>
                              </w:rPr>
                            </w:pPr>
                            <w:r w:rsidRPr="009D530E">
                              <w:rPr>
                                <w:rFonts w:ascii="Arial" w:hAnsi="Arial" w:cs="Arial"/>
                                <w:b/>
                                <w:bCs/>
                                <w:sz w:val="20"/>
                                <w:szCs w:val="20"/>
                                <w:lang w:val="en-AU"/>
                              </w:rPr>
                              <w:t xml:space="preserve">Implementation Considerations </w:t>
                            </w:r>
                          </w:p>
                          <w:p w14:paraId="6825EEDD"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The Toolkit has been developed to support a more practical, coordinated and resilient approach to emergency preparedness across commercial building environments.</w:t>
                            </w:r>
                          </w:p>
                          <w:p w14:paraId="12498D39" w14:textId="77777777" w:rsidR="00511B27" w:rsidRPr="009D530E" w:rsidRDefault="00511B27" w:rsidP="00511B27">
                            <w:pPr>
                              <w:shd w:val="clear" w:color="auto" w:fill="EBF3DB"/>
                              <w:spacing w:after="0"/>
                              <w:rPr>
                                <w:rFonts w:ascii="Arial" w:hAnsi="Arial" w:cs="Arial"/>
                                <w:sz w:val="20"/>
                                <w:szCs w:val="20"/>
                                <w:lang w:val="en-AU"/>
                              </w:rPr>
                            </w:pPr>
                          </w:p>
                          <w:p w14:paraId="2ABB7DA1"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The resources are intended to support ongoing preparedness, coordination and continuous improvement activities, and may be adopted progressively based on organisational needs, operational priorities and preparedness maturity.</w:t>
                            </w:r>
                          </w:p>
                          <w:p w14:paraId="75CF4C9F" w14:textId="77777777" w:rsidR="00511B27" w:rsidRPr="009D530E" w:rsidRDefault="00511B27" w:rsidP="00511B27">
                            <w:pPr>
                              <w:shd w:val="clear" w:color="auto" w:fill="EBF3DB"/>
                              <w:spacing w:after="0"/>
                              <w:rPr>
                                <w:rFonts w:ascii="Arial" w:hAnsi="Arial" w:cs="Arial"/>
                                <w:sz w:val="20"/>
                                <w:szCs w:val="20"/>
                                <w:lang w:val="en-AU"/>
                              </w:rPr>
                            </w:pPr>
                          </w:p>
                          <w:p w14:paraId="2CBB6660"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 xml:space="preserve">Users are encouraged to begin with the Good–Better–Best Capability Checklist and use the Toolkit at a Glance guide to identify resources most relevant to their operational needs and preparedness priorities. </w:t>
                            </w:r>
                          </w:p>
                          <w:p w14:paraId="2C533908" w14:textId="77777777" w:rsidR="00511B27" w:rsidRDefault="00511B27" w:rsidP="00511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02B35C" id="_x0000_s1031" type="#_x0000_t202" style="position:absolute;margin-left:0;margin-top:0;width:493.95pt;height:155.7pt;z-index:251661319;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" fillcolor="#ebf3db" stroked="f">
                <v:textbox>
                  <w:txbxContent>
                    <w:p w14:paraId="564675E6" w14:textId="3E5C3623" w:rsidR="00511B27" w:rsidRPr="009D530E" w:rsidRDefault="00511B27" w:rsidP="00511B27">
                      <w:pPr>
                        <w:shd w:val="clear" w:color="auto" w:fill="EBF3DB"/>
                        <w:spacing w:after="0"/>
                        <w:rPr>
                          <w:rFonts w:ascii="Arial" w:hAnsi="Arial" w:cs="Arial"/>
                          <w:b/>
                          <w:bCs/>
                          <w:sz w:val="20"/>
                          <w:szCs w:val="20"/>
                          <w:lang w:val="en-AU"/>
                        </w:rPr>
                      </w:pPr>
                      <w:r w:rsidRPr="009D530E">
                        <w:rPr>
                          <w:rFonts w:ascii="Arial" w:hAnsi="Arial" w:cs="Arial"/>
                          <w:b/>
                          <w:bCs/>
                          <w:sz w:val="20"/>
                          <w:szCs w:val="20"/>
                          <w:lang w:val="en-AU"/>
                        </w:rPr>
                        <w:t xml:space="preserve">Implementation Considerations </w:t>
                      </w:r>
                    </w:p>
                    <w:p w14:paraId="6825EEDD"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The Toolkit has been developed to support a more practical, coordinated and resilient approach to emergency preparedness across commercial building environments.</w:t>
                      </w:r>
                    </w:p>
                    <w:p w14:paraId="12498D39" w14:textId="77777777" w:rsidR="00511B27" w:rsidRPr="009D530E" w:rsidRDefault="00511B27" w:rsidP="00511B27">
                      <w:pPr>
                        <w:shd w:val="clear" w:color="auto" w:fill="EBF3DB"/>
                        <w:spacing w:after="0"/>
                        <w:rPr>
                          <w:rFonts w:ascii="Arial" w:hAnsi="Arial" w:cs="Arial"/>
                          <w:sz w:val="20"/>
                          <w:szCs w:val="20"/>
                          <w:lang w:val="en-AU"/>
                        </w:rPr>
                      </w:pPr>
                    </w:p>
                    <w:p w14:paraId="2ABB7DA1"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The resources are intended to support ongoing preparedness, coordination and continuous improvement activities, and may be adopted progressively based on organisational needs, operational priorities and preparedness maturity.</w:t>
                      </w:r>
                    </w:p>
                    <w:p w14:paraId="75CF4C9F" w14:textId="77777777" w:rsidR="00511B27" w:rsidRPr="009D530E" w:rsidRDefault="00511B27" w:rsidP="00511B27">
                      <w:pPr>
                        <w:shd w:val="clear" w:color="auto" w:fill="EBF3DB"/>
                        <w:spacing w:after="0"/>
                        <w:rPr>
                          <w:rFonts w:ascii="Arial" w:hAnsi="Arial" w:cs="Arial"/>
                          <w:sz w:val="20"/>
                          <w:szCs w:val="20"/>
                          <w:lang w:val="en-AU"/>
                        </w:rPr>
                      </w:pPr>
                    </w:p>
                    <w:p w14:paraId="2CBB6660" w14:textId="77777777" w:rsidR="00511B27" w:rsidRPr="009D530E" w:rsidRDefault="00511B27" w:rsidP="00511B27">
                      <w:pPr>
                        <w:shd w:val="clear" w:color="auto" w:fill="EBF3DB"/>
                        <w:spacing w:after="0"/>
                        <w:rPr>
                          <w:rFonts w:ascii="Arial" w:hAnsi="Arial" w:cs="Arial"/>
                          <w:sz w:val="20"/>
                          <w:szCs w:val="20"/>
                          <w:lang w:val="en-AU"/>
                        </w:rPr>
                      </w:pPr>
                      <w:r w:rsidRPr="009D530E">
                        <w:rPr>
                          <w:rFonts w:ascii="Arial" w:hAnsi="Arial" w:cs="Arial"/>
                          <w:sz w:val="20"/>
                          <w:szCs w:val="20"/>
                          <w:lang w:val="en-AU"/>
                        </w:rPr>
                        <w:t xml:space="preserve">Users are encouraged to begin with the Good–Better–Best Capability Checklist and use the Toolkit at a Glance guide to identify resources most relevant to their operational needs and preparedness priorities. </w:t>
                      </w:r>
                    </w:p>
                    <w:p w14:paraId="2C533908" w14:textId="77777777" w:rsidR="00511B27" w:rsidRDefault="00511B27" w:rsidP="00511B27"/>
                  </w:txbxContent>
                </v:textbox>
                <w10:wrap type="square" anchorx="margin"/>
              </v:shape>
            </w:pict>
          </mc:Fallback>
        </mc:AlternateContent>
      </w:r>
    </w:p>
    <w:sectPr w:rsidR="00FF1BB6" w:rsidRPr="0099053C" w:rsidSect="00EE72C7">
      <w:footerReference w:type="default" r:id="rId17"/>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rea - Resilient Services" w:date="2026-06-01T10:01:00Z" w:initials="BC">
    <w:p w14:paraId="62A35A47" w14:textId="77777777" w:rsidR="005A11B7" w:rsidRDefault="00062661" w:rsidP="005A11B7">
      <w:pPr>
        <w:pStyle w:val="CommentText"/>
      </w:pPr>
      <w:r>
        <w:rPr>
          <w:rStyle w:val="CommentReference"/>
        </w:rPr>
        <w:annotationRef/>
      </w:r>
      <w:r w:rsidR="005A11B7">
        <w:rPr>
          <w:lang w:val="en-AU"/>
        </w:rPr>
        <w:t xml:space="preserve">Alternate table with a few examples. See what you think. It just makes it a bit more this is how you use it rather than this is what its intended for.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A35A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5643DF" w16cex:dateUtc="2026-06-01T0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A35A47" w16cid:durableId="235643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AA9A" w14:textId="77777777" w:rsidR="00EA7530" w:rsidRDefault="00EA7530" w:rsidP="00370DAC">
      <w:pPr>
        <w:spacing w:after="0" w:line="240" w:lineRule="auto"/>
      </w:pPr>
      <w:r>
        <w:separator/>
      </w:r>
    </w:p>
  </w:endnote>
  <w:endnote w:type="continuationSeparator" w:id="0">
    <w:p w14:paraId="106B2FB9" w14:textId="77777777" w:rsidR="00EA7530" w:rsidRDefault="00EA7530" w:rsidP="00370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ansation">
    <w:altName w:val="Calibri"/>
    <w:panose1 w:val="02000000000000000000"/>
    <w:charset w:val="00"/>
    <w:family w:val="auto"/>
    <w:pitch w:val="variable"/>
    <w:sig w:usb0="00000287" w:usb1="00000000" w:usb2="00000000" w:usb3="00000000" w:csb0="0000009F" w:csb1="00000000"/>
  </w:font>
  <w:font w:name="@Yu Mincho Light">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5C62" w14:textId="7E959B81" w:rsidR="007F001C" w:rsidRDefault="007F0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F3AB" w14:textId="77777777" w:rsidR="00EA7530" w:rsidRDefault="00EA7530" w:rsidP="00370DAC">
      <w:pPr>
        <w:spacing w:after="0" w:line="240" w:lineRule="auto"/>
      </w:pPr>
      <w:r>
        <w:separator/>
      </w:r>
    </w:p>
  </w:footnote>
  <w:footnote w:type="continuationSeparator" w:id="0">
    <w:p w14:paraId="75D0D69D" w14:textId="77777777" w:rsidR="00EA7530" w:rsidRDefault="00EA7530" w:rsidP="00370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D64EF"/>
    <w:multiLevelType w:val="multilevel"/>
    <w:tmpl w:val="D1EE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91C12"/>
    <w:multiLevelType w:val="hybridMultilevel"/>
    <w:tmpl w:val="181C3E2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FC8265F"/>
    <w:multiLevelType w:val="hybridMultilevel"/>
    <w:tmpl w:val="1E1209D4"/>
    <w:lvl w:ilvl="0" w:tplc="5A3E979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051DB9"/>
    <w:multiLevelType w:val="hybridMultilevel"/>
    <w:tmpl w:val="65469458"/>
    <w:lvl w:ilvl="0" w:tplc="CB262630">
      <w:start w:val="5"/>
      <w:numFmt w:val="bullet"/>
      <w:lvlText w:val="-"/>
      <w:lvlJc w:val="left"/>
      <w:pPr>
        <w:ind w:left="720" w:hanging="360"/>
      </w:pPr>
      <w:rPr>
        <w:rFonts w:ascii="Arial" w:eastAsiaTheme="minorEastAsia" w:hAnsi="Arial" w:cs="Arial" w:hint="default"/>
        <w:b/>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31A4E"/>
    <w:multiLevelType w:val="multilevel"/>
    <w:tmpl w:val="87C2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CA69D2"/>
    <w:multiLevelType w:val="hybridMultilevel"/>
    <w:tmpl w:val="D14041D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2C962D6A"/>
    <w:multiLevelType w:val="multilevel"/>
    <w:tmpl w:val="052005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32B3E14"/>
    <w:multiLevelType w:val="multilevel"/>
    <w:tmpl w:val="7534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BE74B3"/>
    <w:multiLevelType w:val="multilevel"/>
    <w:tmpl w:val="939A02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A825694"/>
    <w:multiLevelType w:val="multilevel"/>
    <w:tmpl w:val="4D60D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40E2D"/>
    <w:multiLevelType w:val="hybridMultilevel"/>
    <w:tmpl w:val="F9B4158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3EC25FDA"/>
    <w:multiLevelType w:val="multilevel"/>
    <w:tmpl w:val="F33C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1652CB"/>
    <w:multiLevelType w:val="hybridMultilevel"/>
    <w:tmpl w:val="FE36FC8A"/>
    <w:lvl w:ilvl="0" w:tplc="4D729014">
      <w:start w:val="1"/>
      <w:numFmt w:val="bullet"/>
      <w:pStyle w:val="Bullet1"/>
      <w:lvlText w:val=""/>
      <w:lvlJc w:val="left"/>
      <w:pPr>
        <w:ind w:left="720" w:hanging="360"/>
      </w:pPr>
      <w:rPr>
        <w:rFonts w:ascii="Symbol" w:hAnsi="Symbol" w:hint="default"/>
        <w:color w:val="F17576"/>
      </w:rPr>
    </w:lvl>
    <w:lvl w:ilvl="1" w:tplc="300A3448">
      <w:start w:val="1"/>
      <w:numFmt w:val="bullet"/>
      <w:pStyle w:val="Bullet2"/>
      <w:lvlText w:val="o"/>
      <w:lvlJc w:val="left"/>
      <w:pPr>
        <w:ind w:left="1440" w:hanging="360"/>
      </w:pPr>
      <w:rPr>
        <w:color w:val="F17576"/>
      </w:rPr>
    </w:lvl>
    <w:lvl w:ilvl="2" w:tplc="EB0A64FC">
      <w:start w:val="1"/>
      <w:numFmt w:val="bullet"/>
      <w:pStyle w:val="Bullet3"/>
      <w:lvlText w:val="·"/>
      <w:lvlJc w:val="left"/>
      <w:pPr>
        <w:ind w:left="2160" w:hanging="360"/>
      </w:pPr>
      <w:rPr>
        <w:rFonts w:ascii="Yu Mincho Light" w:eastAsia="Yu Mincho Light" w:hAnsi="Yu Mincho Light" w:hint="eastAsia"/>
        <w:color w:val="F17576"/>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9A3AE8"/>
    <w:multiLevelType w:val="multilevel"/>
    <w:tmpl w:val="30AA52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C120BE7"/>
    <w:multiLevelType w:val="multilevel"/>
    <w:tmpl w:val="AF4809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C7F6B56"/>
    <w:multiLevelType w:val="multilevel"/>
    <w:tmpl w:val="3176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86200D"/>
    <w:multiLevelType w:val="hybridMultilevel"/>
    <w:tmpl w:val="9A5649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D23545E"/>
    <w:multiLevelType w:val="multilevel"/>
    <w:tmpl w:val="D8548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6542A"/>
    <w:multiLevelType w:val="hybridMultilevel"/>
    <w:tmpl w:val="0A187A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02B7795"/>
    <w:multiLevelType w:val="hybridMultilevel"/>
    <w:tmpl w:val="874E4C72"/>
    <w:lvl w:ilvl="0" w:tplc="692C291C">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3A52DC"/>
    <w:multiLevelType w:val="multilevel"/>
    <w:tmpl w:val="F35A6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78AB0C02"/>
    <w:multiLevelType w:val="multilevel"/>
    <w:tmpl w:val="A10CE3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EB95E00"/>
    <w:multiLevelType w:val="hybridMultilevel"/>
    <w:tmpl w:val="EC809D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91070239">
    <w:abstractNumId w:val="6"/>
  </w:num>
  <w:num w:numId="2" w16cid:durableId="1351251796">
    <w:abstractNumId w:val="13"/>
  </w:num>
  <w:num w:numId="3" w16cid:durableId="1422490258">
    <w:abstractNumId w:val="14"/>
  </w:num>
  <w:num w:numId="4" w16cid:durableId="1460958417">
    <w:abstractNumId w:val="0"/>
  </w:num>
  <w:num w:numId="5" w16cid:durableId="1467963825">
    <w:abstractNumId w:val="11"/>
  </w:num>
  <w:num w:numId="6" w16cid:durableId="1483692649">
    <w:abstractNumId w:val="4"/>
  </w:num>
  <w:num w:numId="7" w16cid:durableId="1495611143">
    <w:abstractNumId w:val="17"/>
  </w:num>
  <w:num w:numId="8" w16cid:durableId="161969135">
    <w:abstractNumId w:val="15"/>
  </w:num>
  <w:num w:numId="9" w16cid:durableId="165437921">
    <w:abstractNumId w:val="21"/>
  </w:num>
  <w:num w:numId="10" w16cid:durableId="2015304203">
    <w:abstractNumId w:val="16"/>
  </w:num>
  <w:num w:numId="11" w16cid:durableId="2116171018">
    <w:abstractNumId w:val="22"/>
  </w:num>
  <w:num w:numId="12" w16cid:durableId="267130058">
    <w:abstractNumId w:val="7"/>
  </w:num>
  <w:num w:numId="13" w16cid:durableId="287391898">
    <w:abstractNumId w:val="5"/>
  </w:num>
  <w:num w:numId="14" w16cid:durableId="300616198">
    <w:abstractNumId w:val="2"/>
  </w:num>
  <w:num w:numId="15" w16cid:durableId="312442493">
    <w:abstractNumId w:val="8"/>
  </w:num>
  <w:num w:numId="16" w16cid:durableId="449084364">
    <w:abstractNumId w:val="1"/>
  </w:num>
  <w:num w:numId="17" w16cid:durableId="533035882">
    <w:abstractNumId w:val="3"/>
  </w:num>
  <w:num w:numId="18" w16cid:durableId="675151912">
    <w:abstractNumId w:val="9"/>
  </w:num>
  <w:num w:numId="19" w16cid:durableId="758067964">
    <w:abstractNumId w:val="10"/>
  </w:num>
  <w:num w:numId="20" w16cid:durableId="88739031">
    <w:abstractNumId w:val="20"/>
  </w:num>
  <w:num w:numId="21" w16cid:durableId="919221227">
    <w:abstractNumId w:val="18"/>
  </w:num>
  <w:num w:numId="22" w16cid:durableId="529613946">
    <w:abstractNumId w:val="12"/>
  </w:num>
  <w:num w:numId="23" w16cid:durableId="16273960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ea - Resilient Services">
    <w15:presenceInfo w15:providerId="AD" w15:userId="S::brea@resilientservices.com.au::3c276263-9738-4559-bc93-aa05a1635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CC6A24"/>
    <w:rsid w:val="00004B5A"/>
    <w:rsid w:val="000075C9"/>
    <w:rsid w:val="00015A0A"/>
    <w:rsid w:val="00021842"/>
    <w:rsid w:val="0002328D"/>
    <w:rsid w:val="00045B96"/>
    <w:rsid w:val="00046796"/>
    <w:rsid w:val="00050485"/>
    <w:rsid w:val="0005061E"/>
    <w:rsid w:val="000541B4"/>
    <w:rsid w:val="00055936"/>
    <w:rsid w:val="00060EA5"/>
    <w:rsid w:val="00062661"/>
    <w:rsid w:val="0006639B"/>
    <w:rsid w:val="00067C94"/>
    <w:rsid w:val="00072BEF"/>
    <w:rsid w:val="00073762"/>
    <w:rsid w:val="00077C46"/>
    <w:rsid w:val="00082986"/>
    <w:rsid w:val="00086DEC"/>
    <w:rsid w:val="00086E9E"/>
    <w:rsid w:val="000901A8"/>
    <w:rsid w:val="0009674B"/>
    <w:rsid w:val="000A1A59"/>
    <w:rsid w:val="000A2266"/>
    <w:rsid w:val="000B4326"/>
    <w:rsid w:val="000E64F4"/>
    <w:rsid w:val="000E6E1E"/>
    <w:rsid w:val="000E7B92"/>
    <w:rsid w:val="000F07B2"/>
    <w:rsid w:val="00103117"/>
    <w:rsid w:val="001148A6"/>
    <w:rsid w:val="001148C3"/>
    <w:rsid w:val="001172C5"/>
    <w:rsid w:val="00117BA6"/>
    <w:rsid w:val="00122418"/>
    <w:rsid w:val="001233B9"/>
    <w:rsid w:val="00133160"/>
    <w:rsid w:val="00133C4D"/>
    <w:rsid w:val="00141C10"/>
    <w:rsid w:val="00142C47"/>
    <w:rsid w:val="00147661"/>
    <w:rsid w:val="00151EAC"/>
    <w:rsid w:val="00155FB6"/>
    <w:rsid w:val="00162604"/>
    <w:rsid w:val="00164680"/>
    <w:rsid w:val="001724EA"/>
    <w:rsid w:val="001770CE"/>
    <w:rsid w:val="001911E7"/>
    <w:rsid w:val="00194E58"/>
    <w:rsid w:val="001A2784"/>
    <w:rsid w:val="001B3254"/>
    <w:rsid w:val="001E73A5"/>
    <w:rsid w:val="00210B33"/>
    <w:rsid w:val="0022252F"/>
    <w:rsid w:val="002245C6"/>
    <w:rsid w:val="00227EE5"/>
    <w:rsid w:val="00231F39"/>
    <w:rsid w:val="002352BE"/>
    <w:rsid w:val="002368A1"/>
    <w:rsid w:val="00243190"/>
    <w:rsid w:val="002446C1"/>
    <w:rsid w:val="002447B6"/>
    <w:rsid w:val="00254932"/>
    <w:rsid w:val="00260740"/>
    <w:rsid w:val="00260AFC"/>
    <w:rsid w:val="00262701"/>
    <w:rsid w:val="002668F1"/>
    <w:rsid w:val="0028364B"/>
    <w:rsid w:val="0028550D"/>
    <w:rsid w:val="00287F78"/>
    <w:rsid w:val="002913D8"/>
    <w:rsid w:val="002914A2"/>
    <w:rsid w:val="0029247C"/>
    <w:rsid w:val="002924E1"/>
    <w:rsid w:val="002948A7"/>
    <w:rsid w:val="002950E1"/>
    <w:rsid w:val="00296F4C"/>
    <w:rsid w:val="002A0DB5"/>
    <w:rsid w:val="002A174B"/>
    <w:rsid w:val="002A1AB9"/>
    <w:rsid w:val="002A66CA"/>
    <w:rsid w:val="002A7853"/>
    <w:rsid w:val="002C1098"/>
    <w:rsid w:val="002C2014"/>
    <w:rsid w:val="002C3C61"/>
    <w:rsid w:val="002C572C"/>
    <w:rsid w:val="002D221C"/>
    <w:rsid w:val="002D2550"/>
    <w:rsid w:val="002D74B1"/>
    <w:rsid w:val="002D7E35"/>
    <w:rsid w:val="002E316E"/>
    <w:rsid w:val="002F552A"/>
    <w:rsid w:val="00324A24"/>
    <w:rsid w:val="00324E04"/>
    <w:rsid w:val="0033373E"/>
    <w:rsid w:val="00341335"/>
    <w:rsid w:val="00346B10"/>
    <w:rsid w:val="00347ECF"/>
    <w:rsid w:val="0035490C"/>
    <w:rsid w:val="00364897"/>
    <w:rsid w:val="00370DAC"/>
    <w:rsid w:val="003734B2"/>
    <w:rsid w:val="00373F6C"/>
    <w:rsid w:val="00391675"/>
    <w:rsid w:val="003A18BA"/>
    <w:rsid w:val="003A5DBF"/>
    <w:rsid w:val="003A7B31"/>
    <w:rsid w:val="003B0A02"/>
    <w:rsid w:val="003B61F6"/>
    <w:rsid w:val="003B7F68"/>
    <w:rsid w:val="003C37B4"/>
    <w:rsid w:val="003C7E37"/>
    <w:rsid w:val="003D1019"/>
    <w:rsid w:val="003D25A8"/>
    <w:rsid w:val="003D70D5"/>
    <w:rsid w:val="003D7C75"/>
    <w:rsid w:val="003F3292"/>
    <w:rsid w:val="003F69EA"/>
    <w:rsid w:val="004119F1"/>
    <w:rsid w:val="00412E48"/>
    <w:rsid w:val="0041598D"/>
    <w:rsid w:val="00415BF2"/>
    <w:rsid w:val="00425DFE"/>
    <w:rsid w:val="00430253"/>
    <w:rsid w:val="0045191E"/>
    <w:rsid w:val="004639DF"/>
    <w:rsid w:val="0046464B"/>
    <w:rsid w:val="0046508A"/>
    <w:rsid w:val="0046617F"/>
    <w:rsid w:val="004914CA"/>
    <w:rsid w:val="0049441B"/>
    <w:rsid w:val="004A23FC"/>
    <w:rsid w:val="004A297B"/>
    <w:rsid w:val="004A3BC3"/>
    <w:rsid w:val="004A4CB8"/>
    <w:rsid w:val="004C05FB"/>
    <w:rsid w:val="004C4150"/>
    <w:rsid w:val="004D77FF"/>
    <w:rsid w:val="004E4890"/>
    <w:rsid w:val="004F1D95"/>
    <w:rsid w:val="004F4B62"/>
    <w:rsid w:val="00510600"/>
    <w:rsid w:val="00511B27"/>
    <w:rsid w:val="00512760"/>
    <w:rsid w:val="00527020"/>
    <w:rsid w:val="00527DEE"/>
    <w:rsid w:val="005305D8"/>
    <w:rsid w:val="00536BE9"/>
    <w:rsid w:val="005449DA"/>
    <w:rsid w:val="00551890"/>
    <w:rsid w:val="0056699B"/>
    <w:rsid w:val="00575F4E"/>
    <w:rsid w:val="00583B67"/>
    <w:rsid w:val="0058448D"/>
    <w:rsid w:val="0058482E"/>
    <w:rsid w:val="00586B11"/>
    <w:rsid w:val="00591840"/>
    <w:rsid w:val="005A11B7"/>
    <w:rsid w:val="005A7BD3"/>
    <w:rsid w:val="005B2572"/>
    <w:rsid w:val="005B2D7A"/>
    <w:rsid w:val="005B2EBA"/>
    <w:rsid w:val="005C2A35"/>
    <w:rsid w:val="005C42AB"/>
    <w:rsid w:val="005D3A4D"/>
    <w:rsid w:val="005D5D6F"/>
    <w:rsid w:val="005E57BA"/>
    <w:rsid w:val="005F0752"/>
    <w:rsid w:val="005F0FB7"/>
    <w:rsid w:val="005F26B8"/>
    <w:rsid w:val="005F3A6A"/>
    <w:rsid w:val="00613956"/>
    <w:rsid w:val="006258B8"/>
    <w:rsid w:val="00627387"/>
    <w:rsid w:val="00627623"/>
    <w:rsid w:val="0063031E"/>
    <w:rsid w:val="006429E6"/>
    <w:rsid w:val="00653E91"/>
    <w:rsid w:val="00654D9B"/>
    <w:rsid w:val="0066120D"/>
    <w:rsid w:val="00672199"/>
    <w:rsid w:val="006752C3"/>
    <w:rsid w:val="00675D16"/>
    <w:rsid w:val="006827C0"/>
    <w:rsid w:val="0069472B"/>
    <w:rsid w:val="006953FA"/>
    <w:rsid w:val="00695769"/>
    <w:rsid w:val="00695F7C"/>
    <w:rsid w:val="006A3520"/>
    <w:rsid w:val="006A3C71"/>
    <w:rsid w:val="006A5439"/>
    <w:rsid w:val="006B145D"/>
    <w:rsid w:val="006B46AB"/>
    <w:rsid w:val="006D1931"/>
    <w:rsid w:val="006E11B0"/>
    <w:rsid w:val="006E4B34"/>
    <w:rsid w:val="006E7872"/>
    <w:rsid w:val="006F0A7C"/>
    <w:rsid w:val="006F2AE2"/>
    <w:rsid w:val="007062AB"/>
    <w:rsid w:val="007149B6"/>
    <w:rsid w:val="00716E7A"/>
    <w:rsid w:val="00734C84"/>
    <w:rsid w:val="007405EB"/>
    <w:rsid w:val="0074127B"/>
    <w:rsid w:val="0074148A"/>
    <w:rsid w:val="00761502"/>
    <w:rsid w:val="00767E91"/>
    <w:rsid w:val="00771EF2"/>
    <w:rsid w:val="00773DCE"/>
    <w:rsid w:val="007764A1"/>
    <w:rsid w:val="00783570"/>
    <w:rsid w:val="00787A0B"/>
    <w:rsid w:val="00787D02"/>
    <w:rsid w:val="00792F33"/>
    <w:rsid w:val="007A6164"/>
    <w:rsid w:val="007A65BD"/>
    <w:rsid w:val="007A74DC"/>
    <w:rsid w:val="007B41AC"/>
    <w:rsid w:val="007B44D4"/>
    <w:rsid w:val="007C40FE"/>
    <w:rsid w:val="007C4DA7"/>
    <w:rsid w:val="007C53A8"/>
    <w:rsid w:val="007D41B3"/>
    <w:rsid w:val="007D5FA6"/>
    <w:rsid w:val="007D61C3"/>
    <w:rsid w:val="007D69EC"/>
    <w:rsid w:val="007F001C"/>
    <w:rsid w:val="007F3BE9"/>
    <w:rsid w:val="00803C05"/>
    <w:rsid w:val="00804C0C"/>
    <w:rsid w:val="0080531A"/>
    <w:rsid w:val="00807662"/>
    <w:rsid w:val="008111AC"/>
    <w:rsid w:val="0081652E"/>
    <w:rsid w:val="00830B1C"/>
    <w:rsid w:val="00831AE9"/>
    <w:rsid w:val="0083432F"/>
    <w:rsid w:val="00834CFF"/>
    <w:rsid w:val="00835AB8"/>
    <w:rsid w:val="00837D78"/>
    <w:rsid w:val="00844099"/>
    <w:rsid w:val="008443D5"/>
    <w:rsid w:val="00844FED"/>
    <w:rsid w:val="00851926"/>
    <w:rsid w:val="008538A2"/>
    <w:rsid w:val="008657EE"/>
    <w:rsid w:val="00870031"/>
    <w:rsid w:val="008762E5"/>
    <w:rsid w:val="008775BC"/>
    <w:rsid w:val="00883685"/>
    <w:rsid w:val="00886A85"/>
    <w:rsid w:val="00896813"/>
    <w:rsid w:val="008A0E05"/>
    <w:rsid w:val="008A6F18"/>
    <w:rsid w:val="008A7818"/>
    <w:rsid w:val="008B0C60"/>
    <w:rsid w:val="008B728B"/>
    <w:rsid w:val="008C1638"/>
    <w:rsid w:val="008C186D"/>
    <w:rsid w:val="008D131C"/>
    <w:rsid w:val="008D5AEE"/>
    <w:rsid w:val="009014C3"/>
    <w:rsid w:val="00902BEA"/>
    <w:rsid w:val="00906C02"/>
    <w:rsid w:val="0091334F"/>
    <w:rsid w:val="00920462"/>
    <w:rsid w:val="00921D95"/>
    <w:rsid w:val="00923F4D"/>
    <w:rsid w:val="00926541"/>
    <w:rsid w:val="00926B6C"/>
    <w:rsid w:val="0093450C"/>
    <w:rsid w:val="009412C5"/>
    <w:rsid w:val="0096216F"/>
    <w:rsid w:val="009752CF"/>
    <w:rsid w:val="009759D1"/>
    <w:rsid w:val="009801FC"/>
    <w:rsid w:val="00981878"/>
    <w:rsid w:val="00982815"/>
    <w:rsid w:val="009860D3"/>
    <w:rsid w:val="0099053C"/>
    <w:rsid w:val="00990FBA"/>
    <w:rsid w:val="009B3F01"/>
    <w:rsid w:val="009B4BA5"/>
    <w:rsid w:val="009B70AD"/>
    <w:rsid w:val="009B72D9"/>
    <w:rsid w:val="009C40AA"/>
    <w:rsid w:val="009C736B"/>
    <w:rsid w:val="009D34DB"/>
    <w:rsid w:val="009D530E"/>
    <w:rsid w:val="009D64B2"/>
    <w:rsid w:val="009E0359"/>
    <w:rsid w:val="009E3325"/>
    <w:rsid w:val="009E38AD"/>
    <w:rsid w:val="009E41C9"/>
    <w:rsid w:val="009F0169"/>
    <w:rsid w:val="00A01147"/>
    <w:rsid w:val="00A06797"/>
    <w:rsid w:val="00A10E18"/>
    <w:rsid w:val="00A12E9D"/>
    <w:rsid w:val="00A13AAF"/>
    <w:rsid w:val="00A154BA"/>
    <w:rsid w:val="00A24172"/>
    <w:rsid w:val="00A27AE3"/>
    <w:rsid w:val="00A30354"/>
    <w:rsid w:val="00A3612F"/>
    <w:rsid w:val="00A42503"/>
    <w:rsid w:val="00A42D3B"/>
    <w:rsid w:val="00A43DA6"/>
    <w:rsid w:val="00A440C3"/>
    <w:rsid w:val="00A479AB"/>
    <w:rsid w:val="00A6003E"/>
    <w:rsid w:val="00A64398"/>
    <w:rsid w:val="00A67F5A"/>
    <w:rsid w:val="00A731CF"/>
    <w:rsid w:val="00A74D0B"/>
    <w:rsid w:val="00A75C39"/>
    <w:rsid w:val="00A81BC7"/>
    <w:rsid w:val="00A838CA"/>
    <w:rsid w:val="00A928F0"/>
    <w:rsid w:val="00A9796D"/>
    <w:rsid w:val="00AA628D"/>
    <w:rsid w:val="00AB1515"/>
    <w:rsid w:val="00AB1DF0"/>
    <w:rsid w:val="00AB2BE8"/>
    <w:rsid w:val="00AB5D54"/>
    <w:rsid w:val="00AB5D62"/>
    <w:rsid w:val="00AC090F"/>
    <w:rsid w:val="00AC24D7"/>
    <w:rsid w:val="00AD1786"/>
    <w:rsid w:val="00AD1BA1"/>
    <w:rsid w:val="00AD273C"/>
    <w:rsid w:val="00AD2C0F"/>
    <w:rsid w:val="00AD6D48"/>
    <w:rsid w:val="00AE6323"/>
    <w:rsid w:val="00AF2674"/>
    <w:rsid w:val="00B065DF"/>
    <w:rsid w:val="00B06FE1"/>
    <w:rsid w:val="00B07A46"/>
    <w:rsid w:val="00B21A63"/>
    <w:rsid w:val="00B3349E"/>
    <w:rsid w:val="00B34F5B"/>
    <w:rsid w:val="00B4175C"/>
    <w:rsid w:val="00B45A0F"/>
    <w:rsid w:val="00B5102E"/>
    <w:rsid w:val="00B53334"/>
    <w:rsid w:val="00B54A04"/>
    <w:rsid w:val="00B55F69"/>
    <w:rsid w:val="00B61602"/>
    <w:rsid w:val="00B61672"/>
    <w:rsid w:val="00B630F4"/>
    <w:rsid w:val="00B65537"/>
    <w:rsid w:val="00B674DA"/>
    <w:rsid w:val="00B7110F"/>
    <w:rsid w:val="00B925ED"/>
    <w:rsid w:val="00B943F8"/>
    <w:rsid w:val="00BB6A22"/>
    <w:rsid w:val="00BC0776"/>
    <w:rsid w:val="00BC59A2"/>
    <w:rsid w:val="00BD5CF0"/>
    <w:rsid w:val="00BD606B"/>
    <w:rsid w:val="00BE1261"/>
    <w:rsid w:val="00BE49AA"/>
    <w:rsid w:val="00BE60D5"/>
    <w:rsid w:val="00C00B2F"/>
    <w:rsid w:val="00C07D1C"/>
    <w:rsid w:val="00C11697"/>
    <w:rsid w:val="00C14249"/>
    <w:rsid w:val="00C153FF"/>
    <w:rsid w:val="00C21C80"/>
    <w:rsid w:val="00C27569"/>
    <w:rsid w:val="00C31F2C"/>
    <w:rsid w:val="00C553A0"/>
    <w:rsid w:val="00C55BB8"/>
    <w:rsid w:val="00C6043C"/>
    <w:rsid w:val="00C606D4"/>
    <w:rsid w:val="00C67032"/>
    <w:rsid w:val="00C70E76"/>
    <w:rsid w:val="00C74D71"/>
    <w:rsid w:val="00C76470"/>
    <w:rsid w:val="00C84C95"/>
    <w:rsid w:val="00C87368"/>
    <w:rsid w:val="00C93183"/>
    <w:rsid w:val="00CA0268"/>
    <w:rsid w:val="00CA253E"/>
    <w:rsid w:val="00CA3FA9"/>
    <w:rsid w:val="00CA5E4A"/>
    <w:rsid w:val="00CA6031"/>
    <w:rsid w:val="00CB5329"/>
    <w:rsid w:val="00CB758B"/>
    <w:rsid w:val="00CC3F6F"/>
    <w:rsid w:val="00CD1251"/>
    <w:rsid w:val="00CD1714"/>
    <w:rsid w:val="00CE2D8E"/>
    <w:rsid w:val="00CE6B25"/>
    <w:rsid w:val="00CF0BE2"/>
    <w:rsid w:val="00CF18FD"/>
    <w:rsid w:val="00CF3326"/>
    <w:rsid w:val="00CF62EB"/>
    <w:rsid w:val="00CF63EA"/>
    <w:rsid w:val="00CF72EC"/>
    <w:rsid w:val="00D010FD"/>
    <w:rsid w:val="00D01E44"/>
    <w:rsid w:val="00D116D0"/>
    <w:rsid w:val="00D1762F"/>
    <w:rsid w:val="00D27BC4"/>
    <w:rsid w:val="00D31BEB"/>
    <w:rsid w:val="00D32220"/>
    <w:rsid w:val="00D37C5E"/>
    <w:rsid w:val="00D42B72"/>
    <w:rsid w:val="00D44CE5"/>
    <w:rsid w:val="00D60CCB"/>
    <w:rsid w:val="00D611F1"/>
    <w:rsid w:val="00D84B78"/>
    <w:rsid w:val="00D84BF3"/>
    <w:rsid w:val="00D8579B"/>
    <w:rsid w:val="00D86BAF"/>
    <w:rsid w:val="00D955EB"/>
    <w:rsid w:val="00DA213C"/>
    <w:rsid w:val="00DB32C7"/>
    <w:rsid w:val="00DB5917"/>
    <w:rsid w:val="00DB6986"/>
    <w:rsid w:val="00DC3BE2"/>
    <w:rsid w:val="00DC4965"/>
    <w:rsid w:val="00DD2335"/>
    <w:rsid w:val="00DD480D"/>
    <w:rsid w:val="00DD7B5C"/>
    <w:rsid w:val="00DE3300"/>
    <w:rsid w:val="00DF1329"/>
    <w:rsid w:val="00DF211F"/>
    <w:rsid w:val="00E00CC3"/>
    <w:rsid w:val="00E07EC3"/>
    <w:rsid w:val="00E204BF"/>
    <w:rsid w:val="00E21701"/>
    <w:rsid w:val="00E22EC2"/>
    <w:rsid w:val="00E24F06"/>
    <w:rsid w:val="00E25250"/>
    <w:rsid w:val="00E27979"/>
    <w:rsid w:val="00E30D20"/>
    <w:rsid w:val="00E3171A"/>
    <w:rsid w:val="00E3186F"/>
    <w:rsid w:val="00E34A07"/>
    <w:rsid w:val="00E37654"/>
    <w:rsid w:val="00E42000"/>
    <w:rsid w:val="00E53E2F"/>
    <w:rsid w:val="00E5420D"/>
    <w:rsid w:val="00E55379"/>
    <w:rsid w:val="00E5622A"/>
    <w:rsid w:val="00E62009"/>
    <w:rsid w:val="00E66476"/>
    <w:rsid w:val="00E72164"/>
    <w:rsid w:val="00E72C4A"/>
    <w:rsid w:val="00E739A9"/>
    <w:rsid w:val="00E75983"/>
    <w:rsid w:val="00E765D9"/>
    <w:rsid w:val="00E776B9"/>
    <w:rsid w:val="00E848DF"/>
    <w:rsid w:val="00E8534C"/>
    <w:rsid w:val="00E87CEE"/>
    <w:rsid w:val="00E9214A"/>
    <w:rsid w:val="00E92AC4"/>
    <w:rsid w:val="00E94D76"/>
    <w:rsid w:val="00E960C1"/>
    <w:rsid w:val="00EA0963"/>
    <w:rsid w:val="00EA4109"/>
    <w:rsid w:val="00EA7530"/>
    <w:rsid w:val="00EB0EDD"/>
    <w:rsid w:val="00ED15CE"/>
    <w:rsid w:val="00ED645F"/>
    <w:rsid w:val="00ED64EE"/>
    <w:rsid w:val="00EE0712"/>
    <w:rsid w:val="00EE72C7"/>
    <w:rsid w:val="00EE7AFF"/>
    <w:rsid w:val="00EF2748"/>
    <w:rsid w:val="00EF7FF1"/>
    <w:rsid w:val="00F0261B"/>
    <w:rsid w:val="00F12BB6"/>
    <w:rsid w:val="00F30E0F"/>
    <w:rsid w:val="00F44DA9"/>
    <w:rsid w:val="00F52D8E"/>
    <w:rsid w:val="00F555DB"/>
    <w:rsid w:val="00F600F9"/>
    <w:rsid w:val="00F61BAC"/>
    <w:rsid w:val="00F62608"/>
    <w:rsid w:val="00F760D3"/>
    <w:rsid w:val="00F83050"/>
    <w:rsid w:val="00F95619"/>
    <w:rsid w:val="00F967B6"/>
    <w:rsid w:val="00FA3142"/>
    <w:rsid w:val="00FA4E00"/>
    <w:rsid w:val="00FA67E9"/>
    <w:rsid w:val="00FB031A"/>
    <w:rsid w:val="00FB5A88"/>
    <w:rsid w:val="00FB623A"/>
    <w:rsid w:val="00FB6F41"/>
    <w:rsid w:val="00FB7188"/>
    <w:rsid w:val="00FC2E6A"/>
    <w:rsid w:val="00FC595A"/>
    <w:rsid w:val="00FD6865"/>
    <w:rsid w:val="00FD7131"/>
    <w:rsid w:val="00FD7BB3"/>
    <w:rsid w:val="00FE3C63"/>
    <w:rsid w:val="00FF1BB6"/>
    <w:rsid w:val="35CCAA31"/>
    <w:rsid w:val="46969626"/>
    <w:rsid w:val="4DCC6A24"/>
    <w:rsid w:val="681818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C6A24"/>
  <w15:chartTrackingRefBased/>
  <w15:docId w15:val="{373DC1EB-2BDB-49AE-BB45-91798458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D1BA1"/>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wacimage">
    <w:name w:val="wacimage"/>
    <w:basedOn w:val="DefaultParagraphFont"/>
    <w:rsid w:val="00AD1BA1"/>
  </w:style>
  <w:style w:type="character" w:customStyle="1" w:styleId="normaltextrun">
    <w:name w:val="normaltextrun"/>
    <w:basedOn w:val="DefaultParagraphFont"/>
    <w:rsid w:val="00AD1BA1"/>
  </w:style>
  <w:style w:type="character" w:customStyle="1" w:styleId="eop">
    <w:name w:val="eop"/>
    <w:basedOn w:val="DefaultParagraphFont"/>
    <w:rsid w:val="00AD1BA1"/>
  </w:style>
  <w:style w:type="paragraph" w:styleId="NormalWeb">
    <w:name w:val="Normal (Web)"/>
    <w:basedOn w:val="Normal"/>
    <w:uiPriority w:val="99"/>
    <w:semiHidden/>
    <w:unhideWhenUsed/>
    <w:rsid w:val="00DD2335"/>
    <w:pPr>
      <w:spacing w:before="100" w:beforeAutospacing="1" w:after="100" w:afterAutospacing="1" w:line="240" w:lineRule="auto"/>
    </w:pPr>
    <w:rPr>
      <w:rFonts w:ascii="Times New Roman" w:eastAsia="Times New Roman" w:hAnsi="Times New Roman" w:cs="Times New Roman"/>
      <w:lang w:val="en-AU" w:eastAsia="en-GB"/>
    </w:rPr>
  </w:style>
  <w:style w:type="character" w:customStyle="1" w:styleId="apple-converted-space">
    <w:name w:val="apple-converted-space"/>
    <w:basedOn w:val="DefaultParagraphFont"/>
    <w:rsid w:val="00DD2335"/>
  </w:style>
  <w:style w:type="character" w:styleId="Strong">
    <w:name w:val="Strong"/>
    <w:basedOn w:val="DefaultParagraphFont"/>
    <w:uiPriority w:val="22"/>
    <w:qFormat/>
    <w:rsid w:val="00DD2335"/>
    <w:rPr>
      <w:b/>
      <w:bCs/>
    </w:rPr>
  </w:style>
  <w:style w:type="paragraph" w:styleId="ListParagraph">
    <w:name w:val="List Paragraph"/>
    <w:basedOn w:val="Normal"/>
    <w:uiPriority w:val="34"/>
    <w:qFormat/>
    <w:rsid w:val="00DE3300"/>
    <w:pPr>
      <w:ind w:left="720"/>
      <w:contextualSpacing/>
    </w:pPr>
  </w:style>
  <w:style w:type="paragraph" w:styleId="Header">
    <w:name w:val="header"/>
    <w:basedOn w:val="Normal"/>
    <w:link w:val="HeaderChar"/>
    <w:uiPriority w:val="99"/>
    <w:unhideWhenUsed/>
    <w:rsid w:val="00370D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DAC"/>
  </w:style>
  <w:style w:type="paragraph" w:styleId="Footer">
    <w:name w:val="footer"/>
    <w:basedOn w:val="Normal"/>
    <w:link w:val="FooterChar"/>
    <w:uiPriority w:val="99"/>
    <w:unhideWhenUsed/>
    <w:rsid w:val="00370D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DAC"/>
  </w:style>
  <w:style w:type="character" w:styleId="CommentReference">
    <w:name w:val="annotation reference"/>
    <w:basedOn w:val="DefaultParagraphFont"/>
    <w:uiPriority w:val="99"/>
    <w:semiHidden/>
    <w:unhideWhenUsed/>
    <w:rsid w:val="00C14249"/>
    <w:rPr>
      <w:sz w:val="16"/>
      <w:szCs w:val="16"/>
    </w:rPr>
  </w:style>
  <w:style w:type="paragraph" w:styleId="CommentText">
    <w:name w:val="annotation text"/>
    <w:basedOn w:val="Normal"/>
    <w:link w:val="CommentTextChar"/>
    <w:uiPriority w:val="99"/>
    <w:unhideWhenUsed/>
    <w:rsid w:val="00C14249"/>
    <w:pPr>
      <w:spacing w:line="240" w:lineRule="auto"/>
    </w:pPr>
    <w:rPr>
      <w:sz w:val="20"/>
      <w:szCs w:val="20"/>
    </w:rPr>
  </w:style>
  <w:style w:type="character" w:customStyle="1" w:styleId="CommentTextChar">
    <w:name w:val="Comment Text Char"/>
    <w:basedOn w:val="DefaultParagraphFont"/>
    <w:link w:val="CommentText"/>
    <w:uiPriority w:val="99"/>
    <w:rsid w:val="00C14249"/>
    <w:rPr>
      <w:sz w:val="20"/>
      <w:szCs w:val="20"/>
    </w:rPr>
  </w:style>
  <w:style w:type="paragraph" w:styleId="CommentSubject">
    <w:name w:val="annotation subject"/>
    <w:basedOn w:val="CommentText"/>
    <w:next w:val="CommentText"/>
    <w:link w:val="CommentSubjectChar"/>
    <w:uiPriority w:val="99"/>
    <w:semiHidden/>
    <w:unhideWhenUsed/>
    <w:rsid w:val="00C14249"/>
    <w:rPr>
      <w:b/>
      <w:bCs/>
    </w:rPr>
  </w:style>
  <w:style w:type="character" w:customStyle="1" w:styleId="CommentSubjectChar">
    <w:name w:val="Comment Subject Char"/>
    <w:basedOn w:val="CommentTextChar"/>
    <w:link w:val="CommentSubject"/>
    <w:uiPriority w:val="99"/>
    <w:semiHidden/>
    <w:rsid w:val="00C14249"/>
    <w:rPr>
      <w:b/>
      <w:bCs/>
      <w:sz w:val="20"/>
      <w:szCs w:val="20"/>
    </w:rPr>
  </w:style>
  <w:style w:type="table" w:styleId="TableGrid">
    <w:name w:val="Table Grid"/>
    <w:basedOn w:val="TableNormal"/>
    <w:uiPriority w:val="39"/>
    <w:rsid w:val="00982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D221C"/>
    <w:pPr>
      <w:spacing w:after="0" w:line="240" w:lineRule="auto"/>
    </w:pPr>
  </w:style>
  <w:style w:type="paragraph" w:customStyle="1" w:styleId="Bullet1">
    <w:name w:val="Bullet 1"/>
    <w:basedOn w:val="ListParagraph"/>
    <w:link w:val="Bullet1Char"/>
    <w:qFormat/>
    <w:rsid w:val="00627623"/>
    <w:pPr>
      <w:numPr>
        <w:numId w:val="22"/>
      </w:numPr>
      <w:spacing w:line="259" w:lineRule="auto"/>
    </w:pPr>
    <w:rPr>
      <w:rFonts w:ascii="Sansation" w:eastAsiaTheme="minorHAnsi" w:hAnsi="Sansation"/>
      <w:sz w:val="18"/>
      <w:szCs w:val="18"/>
      <w:lang w:val="en-AU" w:eastAsia="en-US"/>
    </w:rPr>
  </w:style>
  <w:style w:type="character" w:customStyle="1" w:styleId="Bullet1Char">
    <w:name w:val="Bullet 1 Char"/>
    <w:basedOn w:val="DefaultParagraphFont"/>
    <w:link w:val="Bullet1"/>
    <w:rsid w:val="00627623"/>
    <w:rPr>
      <w:rFonts w:ascii="Sansation" w:eastAsiaTheme="minorHAnsi" w:hAnsi="Sansation"/>
      <w:sz w:val="18"/>
      <w:szCs w:val="18"/>
      <w:lang w:val="en-AU" w:eastAsia="en-US"/>
    </w:rPr>
  </w:style>
  <w:style w:type="paragraph" w:customStyle="1" w:styleId="Bullet2">
    <w:name w:val="Bullet 2"/>
    <w:basedOn w:val="ListParagraph"/>
    <w:qFormat/>
    <w:rsid w:val="00627623"/>
    <w:pPr>
      <w:numPr>
        <w:ilvl w:val="1"/>
        <w:numId w:val="22"/>
      </w:numPr>
      <w:spacing w:line="259" w:lineRule="auto"/>
      <w:ind w:left="1134"/>
    </w:pPr>
    <w:rPr>
      <w:rFonts w:ascii="Sansation" w:eastAsiaTheme="minorHAnsi" w:hAnsi="Sansation" w:cs="Courier New"/>
      <w:sz w:val="18"/>
      <w:szCs w:val="18"/>
      <w:lang w:val="en-AU" w:eastAsia="en-US"/>
    </w:rPr>
  </w:style>
  <w:style w:type="paragraph" w:customStyle="1" w:styleId="Bullet3">
    <w:name w:val="Bullet 3"/>
    <w:basedOn w:val="ListParagraph"/>
    <w:qFormat/>
    <w:rsid w:val="00627623"/>
    <w:pPr>
      <w:numPr>
        <w:ilvl w:val="2"/>
        <w:numId w:val="22"/>
      </w:numPr>
      <w:spacing w:line="259" w:lineRule="auto"/>
      <w:ind w:left="1664"/>
    </w:pPr>
    <w:rPr>
      <w:rFonts w:ascii="Sansation" w:eastAsiaTheme="minorHAnsi" w:hAnsi="Sansation"/>
      <w:sz w:val="18"/>
      <w:szCs w:val="18"/>
      <w:lang w:val="en-AU" w:eastAsia="en-US"/>
    </w:rPr>
  </w:style>
  <w:style w:type="table" w:customStyle="1" w:styleId="RStable">
    <w:name w:val="RS table"/>
    <w:basedOn w:val="TableNormal"/>
    <w:uiPriority w:val="99"/>
    <w:rsid w:val="00627623"/>
    <w:pPr>
      <w:spacing w:after="0" w:line="240" w:lineRule="auto"/>
    </w:pPr>
    <w:rPr>
      <w:rFonts w:ascii="Sansation" w:eastAsiaTheme="minorHAnsi" w:hAnsi="Sansation"/>
      <w:kern w:val="2"/>
      <w:sz w:val="18"/>
      <w:szCs w:val="22"/>
      <w:lang w:val="en-AU" w:eastAsia="en-US"/>
      <w14:ligatures w14:val="standardContextual"/>
    </w:rPr>
    <w:tblPr>
      <w:tblStyleRowBandSize w:val="1"/>
      <w:tblBorders>
        <w:top w:val="single" w:sz="4" w:space="0" w:color="auto"/>
        <w:bottom w:val="single" w:sz="4" w:space="0" w:color="auto"/>
      </w:tblBorders>
    </w:tblPr>
    <w:tblStylePr w:type="firstRow">
      <w:rPr>
        <w:rFonts w:ascii="@Yu Mincho Light" w:hAnsi="@Yu Mincho Light"/>
        <w:b/>
        <w:sz w:val="18"/>
      </w:rPr>
      <w:tblPr/>
      <w:tcPr>
        <w:shd w:val="clear" w:color="auto" w:fill="FCD2D0"/>
      </w:tcPr>
    </w:tblStylePr>
    <w:tblStylePr w:type="band2Horz">
      <w:tblPr/>
      <w:tcPr>
        <w:shd w:val="clear" w:color="auto" w:fill="FEF4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8B639A-FE51-44CF-B0AD-676B4E2CC32F}">
  <ds:schemaRefs>
    <ds:schemaRef ds:uri="http://schemas.microsoft.com/sharepoint/v3/contenttype/forms"/>
  </ds:schemaRefs>
</ds:datastoreItem>
</file>

<file path=customXml/itemProps2.xml><?xml version="1.0" encoding="utf-8"?>
<ds:datastoreItem xmlns:ds="http://schemas.openxmlformats.org/officeDocument/2006/customXml" ds:itemID="{6974CE89-8EDE-4C99-8706-6FA17735D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B2212-94BA-4368-B11A-C7303870F101}">
  <ds:schemaRefs>
    <ds:schemaRef ds:uri="http://schemas.openxmlformats.org/officeDocument/2006/bibliography"/>
  </ds:schemaRefs>
</ds:datastoreItem>
</file>

<file path=customXml/itemProps4.xml><?xml version="1.0" encoding="utf-8"?>
<ds:datastoreItem xmlns:ds="http://schemas.openxmlformats.org/officeDocument/2006/customXml" ds:itemID="{51F405D7-03C8-4A15-9AE5-6B5BFFFB1FC4}">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28</cp:revision>
  <dcterms:created xsi:type="dcterms:W3CDTF">2026-06-04T03:21:00Z</dcterms:created>
  <dcterms:modified xsi:type="dcterms:W3CDTF">2026-06-15T06:11:00Z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docLang">
    <vt:lpwstr>en</vt:lpwstr>
  </property>
  <property fmtid="{D5CDD505-2E9C-101B-9397-08002B2CF9AE}" pid="5" name="_MarkAsFinal">
    <vt:bool>true</vt:bool>
  </property>
</Properties>
</file>